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Francisco Ma. Fatima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0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Eikon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EIKN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EIKON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230 HARRIET TUBMAN WAY</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MILLBRAE 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94030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06/04/2036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85,937</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8.96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1/48th of the shares underlying the option will vest on each monthly anniversary of the vesting start date for 48 months, subject to the Reporting Person's continued service through each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Benjamin Thorner,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4"/>
          <w:szCs w:val="24"/>
          <w:color w:val="auto"/>
        </w:rPr>
        <w:t>The undersigned hereby makes, constitutes and appoints each of Benjamin Thorner, Bobbi Leonard, and Andrew Basham, or each of them acting singly, and with full power of substitution and re-substitution, the undersigned’s true and lawful attorney-in-fact (each such person and their substitutes being referred to herein as the “Attorney-in-Fact”), with full power to act for the undersigned and in the undersigned’s name, place and stead, in any and all capacities, to:</w:t>
      </w:r>
    </w:p>
    <w:p>
      <w:pPr>
        <w:spacing w:after="0" w:line="154" w:lineRule="exact"/>
        <w:rPr>
          <w:sz w:val="20"/>
          <w:szCs w:val="20"/>
          <w:color w:val="auto"/>
        </w:rPr>
      </w:pPr>
    </w:p>
    <w:p>
      <w:pPr>
        <w:jc w:val="both"/>
        <w:ind w:left="1460" w:hanging="731"/>
        <w:spacing w:after="0" w:line="242" w:lineRule="auto"/>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169" w:lineRule="exact"/>
        <w:rPr>
          <w:rFonts w:ascii="Times New Roman" w:cs="Times New Roman" w:eastAsia="Times New Roman" w:hAnsi="Times New Roman"/>
          <w:sz w:val="24"/>
          <w:szCs w:val="24"/>
          <w:color w:val="auto"/>
        </w:rPr>
      </w:pPr>
    </w:p>
    <w:p>
      <w:pPr>
        <w:jc w:val="both"/>
        <w:ind w:left="1460" w:hanging="731"/>
        <w:spacing w:after="0"/>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and submit to the SEC, Eikon Therapeutics, Inc. (including any successor or assign,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any security of the Company, including Forms 3, 4 and 5, Schedules 13D and 13G, and Forms 144; and</w:t>
      </w:r>
    </w:p>
    <w:p>
      <w:pPr>
        <w:spacing w:after="0" w:line="154" w:lineRule="exact"/>
        <w:rPr>
          <w:rFonts w:ascii="Times New Roman" w:cs="Times New Roman" w:eastAsia="Times New Roman" w:hAnsi="Times New Roman"/>
          <w:sz w:val="24"/>
          <w:szCs w:val="24"/>
          <w:color w:val="auto"/>
        </w:rPr>
      </w:pPr>
    </w:p>
    <w:p>
      <w:pPr>
        <w:jc w:val="both"/>
        <w:ind w:left="1460" w:hanging="731"/>
        <w:spacing w:after="0" w:line="242" w:lineRule="auto"/>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204" w:lineRule="exact"/>
        <w:rPr>
          <w:sz w:val="20"/>
          <w:szCs w:val="20"/>
          <w:color w:val="auto"/>
        </w:rPr>
      </w:pPr>
    </w:p>
    <w:p>
      <w:pPr>
        <w:jc w:val="both"/>
        <w:ind w:left="2180" w:hanging="721"/>
        <w:spacing w:after="0" w:line="250" w:lineRule="auto"/>
        <w:tabs>
          <w:tab w:leader="none" w:pos="218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authorizes, but does not require, the Attorney-in-Fact to act in his or her discretion on information provided to such Attorney-in-Fact without independent verification of such information;</w:t>
      </w:r>
    </w:p>
    <w:p>
      <w:pPr>
        <w:spacing w:after="0" w:line="143" w:lineRule="exact"/>
        <w:rPr>
          <w:rFonts w:ascii="Times New Roman" w:cs="Times New Roman" w:eastAsia="Times New Roman" w:hAnsi="Times New Roman"/>
          <w:sz w:val="24"/>
          <w:szCs w:val="24"/>
          <w:color w:val="auto"/>
        </w:rPr>
      </w:pPr>
    </w:p>
    <w:p>
      <w:pPr>
        <w:jc w:val="both"/>
        <w:ind w:left="2180" w:hanging="721"/>
        <w:spacing w:after="0" w:line="250" w:lineRule="auto"/>
        <w:tabs>
          <w:tab w:leader="none" w:pos="218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43" w:lineRule="exact"/>
        <w:rPr>
          <w:rFonts w:ascii="Times New Roman" w:cs="Times New Roman" w:eastAsia="Times New Roman" w:hAnsi="Times New Roman"/>
          <w:sz w:val="24"/>
          <w:szCs w:val="24"/>
          <w:color w:val="auto"/>
        </w:rPr>
      </w:pPr>
    </w:p>
    <w:p>
      <w:pPr>
        <w:jc w:val="both"/>
        <w:ind w:left="2180" w:hanging="721"/>
        <w:spacing w:after="0" w:line="242" w:lineRule="auto"/>
        <w:tabs>
          <w:tab w:leader="none" w:pos="218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1104900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jc w:val="both"/>
        <w:ind w:left="2180" w:hanging="721"/>
        <w:spacing w:after="0" w:line="245" w:lineRule="auto"/>
        <w:tabs>
          <w:tab w:leader="none" w:pos="2180"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does not relieve the undersigned from responsibility for compliance with the undersigned’s obligations under Section 13 or Section 16 of the Exchange Act and Rule 144, including, without limitation, the reporting requirements under Section 13 or Section 16 of the Exchange Act and Rule 144.</w:t>
      </w:r>
    </w:p>
    <w:p>
      <w:pPr>
        <w:spacing w:after="0" w:line="149"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9"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IN WITNESS WHEREOF, the undersigned has executed this Power of Attorney as of the date set forth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below.</w:t>
      </w:r>
    </w:p>
    <w:p>
      <w:pPr>
        <w:spacing w:after="0" w:line="1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Ma. Fatima D. Francisco</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80" w:type="dxa"/>
            <w:vAlign w:val="bottom"/>
          </w:tcPr>
          <w:p>
            <w:pPr>
              <w:spacing w:after="0"/>
              <w:rPr>
                <w:sz w:val="21"/>
                <w:szCs w:val="21"/>
                <w:color w:val="auto"/>
              </w:rPr>
            </w:pPr>
          </w:p>
        </w:tc>
        <w:tc>
          <w:tcPr>
            <w:tcW w:w="800" w:type="dxa"/>
            <w:vAlign w:val="bottom"/>
            <w:tcBorders>
              <w:top w:val="single" w:sz="8" w:color="auto"/>
            </w:tcBorders>
          </w:tcPr>
          <w:p>
            <w:pPr>
              <w:spacing w:after="0" w:line="244" w:lineRule="exact"/>
              <w:rPr>
                <w:sz w:val="20"/>
                <w:szCs w:val="20"/>
                <w:color w:val="auto"/>
              </w:rPr>
            </w:pPr>
            <w:r>
              <w:rPr>
                <w:rFonts w:ascii="Times New Roman" w:cs="Times New Roman" w:eastAsia="Times New Roman" w:hAnsi="Times New Roman"/>
                <w:sz w:val="24"/>
                <w:szCs w:val="24"/>
                <w:color w:val="auto"/>
              </w:rPr>
              <w:t>Name:</w:t>
            </w:r>
          </w:p>
        </w:tc>
        <w:tc>
          <w:tcPr>
            <w:tcW w:w="4640" w:type="dxa"/>
            <w:vAlign w:val="bottom"/>
            <w:tcBorders>
              <w:top w:val="single" w:sz="8" w:color="auto"/>
            </w:tcBorders>
          </w:tcPr>
          <w:p>
            <w:pPr>
              <w:ind w:left="160"/>
              <w:spacing w:after="0" w:line="244" w:lineRule="exact"/>
              <w:rPr>
                <w:sz w:val="20"/>
                <w:szCs w:val="20"/>
                <w:color w:val="auto"/>
              </w:rPr>
            </w:pPr>
            <w:r>
              <w:rPr>
                <w:rFonts w:ascii="Times New Roman" w:cs="Times New Roman" w:eastAsia="Times New Roman" w:hAnsi="Times New Roman"/>
                <w:sz w:val="24"/>
                <w:szCs w:val="24"/>
                <w:color w:val="auto"/>
              </w:rPr>
              <w:t>Ma. Fatima D. Francisco</w:t>
            </w:r>
          </w:p>
        </w:tc>
        <w:tc>
          <w:tcPr>
            <w:tcW w:w="20" w:type="dxa"/>
            <w:vAlign w:val="bottom"/>
          </w:tcPr>
          <w:p>
            <w:pPr>
              <w:spacing w:after="0"/>
              <w:rPr>
                <w:sz w:val="21"/>
                <w:szCs w:val="21"/>
                <w:color w:val="auto"/>
              </w:rPr>
            </w:pPr>
          </w:p>
        </w:tc>
      </w:tr>
      <w:tr>
        <w:trPr>
          <w:trHeight w:val="312"/>
        </w:trPr>
        <w:tc>
          <w:tcPr>
            <w:tcW w:w="54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24"/>
                <w:szCs w:val="24"/>
                <w:color w:val="auto"/>
              </w:rPr>
              <w:t>Date:</w:t>
            </w: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24"/>
                <w:szCs w:val="24"/>
                <w:color w:val="auto"/>
              </w:rPr>
              <w:t>June 5, 2026</w:t>
            </w:r>
          </w:p>
        </w:tc>
      </w:tr>
      <w:tr>
        <w:trPr>
          <w:trHeight w:val="2009"/>
        </w:trPr>
        <w:tc>
          <w:tcPr>
            <w:tcW w:w="5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47222" TargetMode="External"/><Relationship Id="rId11" Type="http://schemas.openxmlformats.org/officeDocument/2006/relationships/hyperlink" Target="http://www.sec.gov/cgi-bin/browse-edgar?action=getcompany&amp;CIK=0001861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2026-06-15T15:46:23Z</dcterms:created>
  <dcterms:modified xsi:type="dcterms:W3CDTF">2026-06-15T15:46:23Z</dcterms:modified>
</cp:coreProperties>
</file>