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EIKON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001-43085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84-2807586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230 Harriet Tubman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Millbrae,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94030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(341) 777-0566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EIKN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5, 2026, the Board of Directors (the “Board”) of Eikon Therapeutics, Inc. (the “Company”) appointed Ma. Fatima D. Francisco to the Board as a Class I director, effective June 15, 2026. Ms. Francisco has been appointed to serve until the Company’s annual meeting of stockholders to be held in 2027, or until her successor is duly elected and qualified or her earlier death, disqualification, resignation or removal. Ms. Francisco will initially serve on the Compensation Committee of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Francisco is eligible to participate in the Company’s 2026 non-employee director compensation program, which provides for an annual retainer of</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$50,000 for her Board service, paid in equal quarterly installments and prorated based on days served in any particular fiscal quarter, plus an initial award of an option (the “Option”) to purchase 85,937 shares of the Company’s common stock, par value $0.0001 per share (the “Common Stock”). The Option has an exercise price equal to $8.96 per share, the closing price of the Common Stock on the Nasdaq Global Select Market on the date of the grant. The Option will vest and become exercisable in 48 substantially equal monthly installments following the date of grant, subject to Ms. Francisco’s continued service on the Board through each such vesting date. Ms. Francisco has also entered into the Company’s standard indemnification agreement for directors and officers.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There were no arrangements or understandings between </w:t>
      </w:r>
      <w:r>
        <w:rPr>
          <w:rFonts w:ascii="Times New Roman" w:cs="Times New Roman" w:eastAsia="Times New Roman" w:hAnsi="Times New Roman"/>
          <w:sz w:val="18"/>
          <w:szCs w:val="18"/>
          <w:color w:val="000000"/>
        </w:rPr>
        <w:t>Ms. Francisco</w:t>
      </w:r>
      <w:r>
        <w:rPr>
          <w:rFonts w:ascii="Times New Roman" w:cs="Times New Roman" w:eastAsia="Times New Roman" w:hAnsi="Times New Roman"/>
          <w:sz w:val="18"/>
          <w:szCs w:val="18"/>
          <w:color w:val="212529"/>
        </w:rPr>
        <w:t xml:space="preserve"> and any other persons pursuant to which she was selected as a director, and there are no related person transactions within the meaning of Item 404(a) of Regulation S-K promulgated by the Securities and Exchange Commission between </w:t>
      </w:r>
      <w:r>
        <w:rPr>
          <w:rFonts w:ascii="Times New Roman" w:cs="Times New Roman" w:eastAsia="Times New Roman" w:hAnsi="Times New Roman"/>
          <w:sz w:val="18"/>
          <w:szCs w:val="18"/>
          <w:color w:val="000000"/>
        </w:rPr>
        <w:t>Ms.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Francisco </w:t>
      </w:r>
      <w:r>
        <w:rPr>
          <w:rFonts w:ascii="Times New Roman" w:cs="Times New Roman" w:eastAsia="Times New Roman" w:hAnsi="Times New Roman"/>
          <w:sz w:val="18"/>
          <w:szCs w:val="18"/>
          <w:color w:val="212529"/>
        </w:rPr>
        <w:t>and the Company required to be disclosed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EIKON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Alfred Bowie,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Alfred Bowie,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2026-06-10T15:20:40Z</dcterms:created>
  <dcterms:modified xsi:type="dcterms:W3CDTF">2026-06-10T15:20:40Z</dcterms:modified>
</cp:coreProperties>
</file>