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top w:val="double" w:sz="6" w:space="1" w:color="000000"/>
        </w:pBdr>
        <w:bidi w:val="0"/>
        <w:jc w:val="left"/>
        <w:rPr/>
      </w:pPr>
      <w:bookmarkStart w:id="0" w:name="eikn-20260813.htm"/>
      <w:bookmarkStart w:id="1" w:name="kseikn20260813"/>
      <w:bookmarkEnd w:id="0"/>
      <w:bookmarkEnd w:id="1"/>
      <w:r>
        <w:rPr/>
        <w:t> </w:t>
      </w:r>
      <w:r>
        <mc:AlternateContent>
          <mc:Choice Requires="wps">
            <w:drawing>
              <wp:anchor behindDoc="0" distT="0" distB="0" distL="0" distR="0" simplePos="0" locked="0" layoutInCell="1" allowOverlap="1" relativeHeight="8">
                <wp:simplePos x="0" y="0"/>
                <wp:positionH relativeFrom="page">
                  <wp:posOffset>0</wp:posOffset>
                </wp:positionH>
                <wp:positionV relativeFrom="page">
                  <wp:posOffset>0</wp:posOffset>
                </wp:positionV>
                <wp:extent cx="5054600" cy="3051175"/>
                <wp:effectExtent l="0" t="0" r="0" b="0"/>
                <wp:wrapNone/>
                <wp:docPr id="1" name="Frame7"/>
                <a:graphic xmlns:a="http://schemas.openxmlformats.org/drawingml/2006/main">
                  <a:graphicData uri="http://schemas.microsoft.com/office/word/2010/wordprocessingShape">
                    <wps:wsp>
                      <wps:cNvSpPr txBox="1"/>
                      <wps:spPr>
                        <a:xfrm>
                          <a:off x="0" y="0"/>
                          <a:ext cx="5054600" cy="3051175"/>
                        </a:xfrm>
                        <a:prstGeom prst="rect"/>
                        <a:solidFill>
                          <a:srgbClr val="FFFFFF"/>
                        </a:solidFill>
                      </wps:spPr>
                      <wps:txbx>
                        <w:txbxContent>
                          <w:p>
                            <w:pPr>
                              <w:pStyle w:val="TextBody"/>
                              <w:bidi w:val="0"/>
                              <w:spacing w:before="0" w:after="283"/>
                              <w:jc w:val="center"/>
                              <w:rPr>
                                <w:rFonts w:ascii="sans-serif" w:hAnsi="sans-serif"/>
                                <w:color w:val="EE0000"/>
                                <w:sz w:val="2"/>
                              </w:rPr>
                            </w:pPr>
                            <w:r>
                              <w:rPr>
                                <w:rFonts w:ascii="sans-serif" w:hAnsi="sans-serif"/>
                                <w:color w:val="EE0000"/>
                                <w:sz w:val="2"/>
                              </w:rPr>
                              <w:t>DRAFT</w:t>
                            </w:r>
                          </w:p>
                        </w:txbxContent>
                      </wps:txbx>
                      <wps:bodyPr anchor="t" lIns="0" tIns="0" rIns="0" bIns="0">
                        <a:noAutofit/>
                      </wps:bodyPr>
                    </wps:wsp>
                  </a:graphicData>
                </a:graphic>
              </wp:anchor>
            </w:drawing>
          </mc:Choice>
          <mc:Fallback>
            <w:pict>
              <v:rect style="position:absolute;rotation:-0;width:398pt;height:240.25pt;mso-wrap-distance-left:0pt;mso-wrap-distance-right:0pt;mso-wrap-distance-top:0pt;mso-wrap-distance-bottom:0pt;margin-top:0pt;mso-position-vertical-relative:page;margin-left:0pt;mso-position-horizontal-relative:page">
                <v:textbox inset="0in,0in,0in,0in">
                  <w:txbxContent>
                    <w:p>
                      <w:pPr>
                        <w:pStyle w:val="TextBody"/>
                        <w:bidi w:val="0"/>
                        <w:spacing w:before="0" w:after="283"/>
                        <w:jc w:val="center"/>
                        <w:rPr>
                          <w:rFonts w:ascii="sans-serif" w:hAnsi="sans-serif"/>
                          <w:color w:val="EE0000"/>
                          <w:sz w:val="2"/>
                        </w:rPr>
                      </w:pPr>
                      <w:r>
                        <w:rPr>
                          <w:rFonts w:ascii="sans-serif" w:hAnsi="sans-serif"/>
                          <w:color w:val="EE0000"/>
                          <w:sz w:val="2"/>
                        </w:rPr>
                        <w:t>DRAFT</w:t>
                      </w:r>
                    </w:p>
                  </w:txbxContent>
                </v:textbox>
                <w10:wrap type="none"/>
              </v:rect>
            </w:pict>
          </mc:Fallback>
        </mc:AlternateContent>
      </w:r>
      <w:r>
        <mc:AlternateContent>
          <mc:Choice Requires="wps">
            <w:drawing>
              <wp:anchor behindDoc="0" distT="0" distB="0" distL="0" distR="0" simplePos="0" locked="0" layoutInCell="1" allowOverlap="1" relativeHeight="7">
                <wp:simplePos x="0" y="0"/>
                <wp:positionH relativeFrom="page">
                  <wp:posOffset>0</wp:posOffset>
                </wp:positionH>
                <wp:positionV relativeFrom="page">
                  <wp:posOffset>0</wp:posOffset>
                </wp:positionV>
                <wp:extent cx="5054600" cy="3051175"/>
                <wp:effectExtent l="0" t="0" r="0" b="0"/>
                <wp:wrapNone/>
                <wp:docPr id="2" name="Frame6"/>
                <a:graphic xmlns:a="http://schemas.openxmlformats.org/drawingml/2006/main">
                  <a:graphicData uri="http://schemas.microsoft.com/office/word/2010/wordprocessingShape">
                    <wps:wsp>
                      <wps:cNvSpPr txBox="1"/>
                      <wps:spPr>
                        <a:xfrm>
                          <a:off x="0" y="0"/>
                          <a:ext cx="5054600" cy="3051175"/>
                        </a:xfrm>
                        <a:prstGeom prst="rect"/>
                        <a:solidFill>
                          <a:srgbClr val="FFFFFF"/>
                        </a:solidFill>
                      </wps:spPr>
                      <wps:txbx>
                        <w:txbxContent>
                          <w:p>
                            <w:pPr>
                              <w:pStyle w:val="TextBody"/>
                              <w:bidi w:val="0"/>
                              <w:spacing w:before="0" w:after="283"/>
                              <w:jc w:val="center"/>
                              <w:rPr>
                                <w:rFonts w:ascii="sans-serif" w:hAnsi="sans-serif"/>
                                <w:color w:val="EE0000"/>
                                <w:sz w:val="2"/>
                              </w:rPr>
                            </w:pPr>
                            <w:r>
                              <w:rPr>
                                <w:rFonts w:ascii="sans-serif" w:hAnsi="sans-serif"/>
                                <w:color w:val="EE0000"/>
                                <w:sz w:val="2"/>
                              </w:rPr>
                              <w:t>DRAFT</w:t>
                            </w:r>
                          </w:p>
                        </w:txbxContent>
                      </wps:txbx>
                      <wps:bodyPr anchor="t" lIns="0" tIns="0" rIns="0" bIns="0">
                        <a:noAutofit/>
                      </wps:bodyPr>
                    </wps:wsp>
                  </a:graphicData>
                </a:graphic>
              </wp:anchor>
            </w:drawing>
          </mc:Choice>
          <mc:Fallback>
            <w:pict>
              <v:rect style="position:absolute;rotation:-0;width:398pt;height:240.25pt;mso-wrap-distance-left:0pt;mso-wrap-distance-right:0pt;mso-wrap-distance-top:0pt;mso-wrap-distance-bottom:0pt;margin-top:0pt;mso-position-vertical-relative:page;margin-left:0pt;mso-position-horizontal-relative:page">
                <v:textbox inset="0in,0in,0in,0in">
                  <w:txbxContent>
                    <w:p>
                      <w:pPr>
                        <w:pStyle w:val="TextBody"/>
                        <w:bidi w:val="0"/>
                        <w:spacing w:before="0" w:after="283"/>
                        <w:jc w:val="center"/>
                        <w:rPr>
                          <w:rFonts w:ascii="sans-serif" w:hAnsi="sans-serif"/>
                          <w:color w:val="EE0000"/>
                          <w:sz w:val="2"/>
                        </w:rPr>
                      </w:pPr>
                      <w:r>
                        <w:rPr>
                          <w:rFonts w:ascii="sans-serif" w:hAnsi="sans-serif"/>
                          <w:color w:val="EE0000"/>
                          <w:sz w:val="2"/>
                        </w:rPr>
                        <w:t>DRAFT</w:t>
                      </w:r>
                    </w:p>
                  </w:txbxContent>
                </v:textbox>
                <w10:wrap type="none"/>
              </v:rect>
            </w:pict>
          </mc:Fallback>
        </mc:AlternateContent>
      </w:r>
      <w:r>
        <mc:AlternateContent>
          <mc:Choice Requires="wps">
            <w:drawing>
              <wp:anchor behindDoc="0" distT="0" distB="0" distL="0" distR="0" simplePos="0" locked="0" layoutInCell="1" allowOverlap="1" relativeHeight="6">
                <wp:simplePos x="0" y="0"/>
                <wp:positionH relativeFrom="page">
                  <wp:posOffset>0</wp:posOffset>
                </wp:positionH>
                <wp:positionV relativeFrom="page">
                  <wp:posOffset>0</wp:posOffset>
                </wp:positionV>
                <wp:extent cx="5054600" cy="3051175"/>
                <wp:effectExtent l="0" t="0" r="0" b="0"/>
                <wp:wrapNone/>
                <wp:docPr id="3" name="Frame5"/>
                <a:graphic xmlns:a="http://schemas.openxmlformats.org/drawingml/2006/main">
                  <a:graphicData uri="http://schemas.microsoft.com/office/word/2010/wordprocessingShape">
                    <wps:wsp>
                      <wps:cNvSpPr txBox="1"/>
                      <wps:spPr>
                        <a:xfrm>
                          <a:off x="0" y="0"/>
                          <a:ext cx="5054600" cy="3051175"/>
                        </a:xfrm>
                        <a:prstGeom prst="rect"/>
                        <a:solidFill>
                          <a:srgbClr val="FFFFFF"/>
                        </a:solidFill>
                      </wps:spPr>
                      <wps:txbx>
                        <w:txbxContent>
                          <w:p>
                            <w:pPr>
                              <w:pStyle w:val="TextBody"/>
                              <w:bidi w:val="0"/>
                              <w:spacing w:before="0" w:after="283"/>
                              <w:jc w:val="center"/>
                              <w:rPr>
                                <w:rFonts w:ascii="sans-serif" w:hAnsi="sans-serif"/>
                                <w:color w:val="EE0000"/>
                                <w:sz w:val="2"/>
                              </w:rPr>
                            </w:pPr>
                            <w:r>
                              <w:rPr>
                                <w:rFonts w:ascii="sans-serif" w:hAnsi="sans-serif"/>
                                <w:color w:val="EE0000"/>
                                <w:sz w:val="2"/>
                              </w:rPr>
                              <w:t>DRAFT</w:t>
                            </w:r>
                          </w:p>
                        </w:txbxContent>
                      </wps:txbx>
                      <wps:bodyPr anchor="t" lIns="0" tIns="0" rIns="0" bIns="0">
                        <a:noAutofit/>
                      </wps:bodyPr>
                    </wps:wsp>
                  </a:graphicData>
                </a:graphic>
              </wp:anchor>
            </w:drawing>
          </mc:Choice>
          <mc:Fallback>
            <w:pict>
              <v:rect style="position:absolute;rotation:-0;width:398pt;height:240.25pt;mso-wrap-distance-left:0pt;mso-wrap-distance-right:0pt;mso-wrap-distance-top:0pt;mso-wrap-distance-bottom:0pt;margin-top:0pt;mso-position-vertical-relative:page;margin-left:0pt;mso-position-horizontal-relative:page">
                <v:textbox inset="0in,0in,0in,0in">
                  <w:txbxContent>
                    <w:p>
                      <w:pPr>
                        <w:pStyle w:val="TextBody"/>
                        <w:bidi w:val="0"/>
                        <w:spacing w:before="0" w:after="283"/>
                        <w:jc w:val="center"/>
                        <w:rPr>
                          <w:rFonts w:ascii="sans-serif" w:hAnsi="sans-serif"/>
                          <w:color w:val="EE0000"/>
                          <w:sz w:val="2"/>
                        </w:rPr>
                      </w:pPr>
                      <w:r>
                        <w:rPr>
                          <w:rFonts w:ascii="sans-serif" w:hAnsi="sans-serif"/>
                          <w:color w:val="EE0000"/>
                          <w:sz w:val="2"/>
                        </w:rPr>
                        <w:t>DRAFT</w:t>
                      </w:r>
                    </w:p>
                  </w:txbxContent>
                </v:textbox>
                <w10:wrap type="none"/>
              </v:rect>
            </w:pict>
          </mc:Fallback>
        </mc:AlternateContent>
      </w:r>
      <w:r>
        <mc:AlternateContent>
          <mc:Choice Requires="wps">
            <w:drawing>
              <wp:anchor behindDoc="0" distT="0" distB="0" distL="0" distR="0" simplePos="0" locked="0" layoutInCell="1" allowOverlap="1" relativeHeight="5">
                <wp:simplePos x="0" y="0"/>
                <wp:positionH relativeFrom="page">
                  <wp:posOffset>0</wp:posOffset>
                </wp:positionH>
                <wp:positionV relativeFrom="page">
                  <wp:posOffset>0</wp:posOffset>
                </wp:positionV>
                <wp:extent cx="5054600" cy="3051175"/>
                <wp:effectExtent l="0" t="0" r="0" b="0"/>
                <wp:wrapNone/>
                <wp:docPr id="4" name="Frame4"/>
                <a:graphic xmlns:a="http://schemas.openxmlformats.org/drawingml/2006/main">
                  <a:graphicData uri="http://schemas.microsoft.com/office/word/2010/wordprocessingShape">
                    <wps:wsp>
                      <wps:cNvSpPr txBox="1"/>
                      <wps:spPr>
                        <a:xfrm>
                          <a:off x="0" y="0"/>
                          <a:ext cx="5054600" cy="3051175"/>
                        </a:xfrm>
                        <a:prstGeom prst="rect"/>
                        <a:solidFill>
                          <a:srgbClr val="FFFFFF"/>
                        </a:solidFill>
                      </wps:spPr>
                      <wps:txbx>
                        <w:txbxContent>
                          <w:p>
                            <w:pPr>
                              <w:pStyle w:val="TextBody"/>
                              <w:bidi w:val="0"/>
                              <w:spacing w:before="0" w:after="283"/>
                              <w:jc w:val="center"/>
                              <w:rPr>
                                <w:rFonts w:ascii="sans-serif" w:hAnsi="sans-serif"/>
                                <w:color w:val="EE0000"/>
                                <w:sz w:val="2"/>
                              </w:rPr>
                            </w:pPr>
                            <w:r>
                              <w:rPr>
                                <w:rFonts w:ascii="sans-serif" w:hAnsi="sans-serif"/>
                                <w:color w:val="EE0000"/>
                                <w:sz w:val="2"/>
                              </w:rPr>
                              <w:t>DRAFT</w:t>
                            </w:r>
                          </w:p>
                        </w:txbxContent>
                      </wps:txbx>
                      <wps:bodyPr anchor="t" lIns="0" tIns="0" rIns="0" bIns="0">
                        <a:noAutofit/>
                      </wps:bodyPr>
                    </wps:wsp>
                  </a:graphicData>
                </a:graphic>
              </wp:anchor>
            </w:drawing>
          </mc:Choice>
          <mc:Fallback>
            <w:pict>
              <v:rect style="position:absolute;rotation:-0;width:398pt;height:240.25pt;mso-wrap-distance-left:0pt;mso-wrap-distance-right:0pt;mso-wrap-distance-top:0pt;mso-wrap-distance-bottom:0pt;margin-top:0pt;mso-position-vertical-relative:page;margin-left:0pt;mso-position-horizontal-relative:page">
                <v:textbox inset="0in,0in,0in,0in">
                  <w:txbxContent>
                    <w:p>
                      <w:pPr>
                        <w:pStyle w:val="TextBody"/>
                        <w:bidi w:val="0"/>
                        <w:spacing w:before="0" w:after="283"/>
                        <w:jc w:val="center"/>
                        <w:rPr>
                          <w:rFonts w:ascii="sans-serif" w:hAnsi="sans-serif"/>
                          <w:color w:val="EE0000"/>
                          <w:sz w:val="2"/>
                        </w:rPr>
                      </w:pPr>
                      <w:r>
                        <w:rPr>
                          <w:rFonts w:ascii="sans-serif" w:hAnsi="sans-serif"/>
                          <w:color w:val="EE0000"/>
                          <w:sz w:val="2"/>
                        </w:rPr>
                        <w:t>DRAFT</w:t>
                      </w:r>
                    </w:p>
                  </w:txbxContent>
                </v:textbox>
                <w10:wrap type="none"/>
              </v:rect>
            </w:pict>
          </mc:Fallback>
        </mc:AlternateContent>
      </w:r>
      <w:r>
        <mc:AlternateContent>
          <mc:Choice Requires="wps">
            <w:drawing>
              <wp:anchor behindDoc="0" distT="0" distB="0" distL="0" distR="0" simplePos="0" locked="0" layoutInCell="1" allowOverlap="1" relativeHeight="4">
                <wp:simplePos x="0" y="0"/>
                <wp:positionH relativeFrom="page">
                  <wp:posOffset>0</wp:posOffset>
                </wp:positionH>
                <wp:positionV relativeFrom="page">
                  <wp:posOffset>0</wp:posOffset>
                </wp:positionV>
                <wp:extent cx="5054600" cy="3051175"/>
                <wp:effectExtent l="0" t="0" r="0" b="0"/>
                <wp:wrapNone/>
                <wp:docPr id="5" name="Frame3"/>
                <a:graphic xmlns:a="http://schemas.openxmlformats.org/drawingml/2006/main">
                  <a:graphicData uri="http://schemas.microsoft.com/office/word/2010/wordprocessingShape">
                    <wps:wsp>
                      <wps:cNvSpPr txBox="1"/>
                      <wps:spPr>
                        <a:xfrm>
                          <a:off x="0" y="0"/>
                          <a:ext cx="5054600" cy="3051175"/>
                        </a:xfrm>
                        <a:prstGeom prst="rect"/>
                        <a:solidFill>
                          <a:srgbClr val="FFFFFF"/>
                        </a:solidFill>
                      </wps:spPr>
                      <wps:txbx>
                        <w:txbxContent>
                          <w:p>
                            <w:pPr>
                              <w:pStyle w:val="TextBody"/>
                              <w:bidi w:val="0"/>
                              <w:spacing w:before="0" w:after="283"/>
                              <w:jc w:val="center"/>
                              <w:rPr>
                                <w:rFonts w:ascii="sans-serif" w:hAnsi="sans-serif"/>
                                <w:color w:val="EE0000"/>
                                <w:sz w:val="2"/>
                              </w:rPr>
                            </w:pPr>
                            <w:r>
                              <w:rPr>
                                <w:rFonts w:ascii="sans-serif" w:hAnsi="sans-serif"/>
                                <w:color w:val="EE0000"/>
                                <w:sz w:val="2"/>
                              </w:rPr>
                              <w:t>DRAFT</w:t>
                            </w:r>
                          </w:p>
                        </w:txbxContent>
                      </wps:txbx>
                      <wps:bodyPr anchor="t" lIns="0" tIns="0" rIns="0" bIns="0">
                        <a:noAutofit/>
                      </wps:bodyPr>
                    </wps:wsp>
                  </a:graphicData>
                </a:graphic>
              </wp:anchor>
            </w:drawing>
          </mc:Choice>
          <mc:Fallback>
            <w:pict>
              <v:rect style="position:absolute;rotation:-0;width:398pt;height:240.25pt;mso-wrap-distance-left:0pt;mso-wrap-distance-right:0pt;mso-wrap-distance-top:0pt;mso-wrap-distance-bottom:0pt;margin-top:0pt;mso-position-vertical-relative:page;margin-left:0pt;mso-position-horizontal-relative:page">
                <v:textbox inset="0in,0in,0in,0in">
                  <w:txbxContent>
                    <w:p>
                      <w:pPr>
                        <w:pStyle w:val="TextBody"/>
                        <w:bidi w:val="0"/>
                        <w:spacing w:before="0" w:after="283"/>
                        <w:jc w:val="center"/>
                        <w:rPr>
                          <w:rFonts w:ascii="sans-serif" w:hAnsi="sans-serif"/>
                          <w:color w:val="EE0000"/>
                          <w:sz w:val="2"/>
                        </w:rPr>
                      </w:pPr>
                      <w:r>
                        <w:rPr>
                          <w:rFonts w:ascii="sans-serif" w:hAnsi="sans-serif"/>
                          <w:color w:val="EE0000"/>
                          <w:sz w:val="2"/>
                        </w:rPr>
                        <w:t>DRAFT</w:t>
                      </w:r>
                    </w:p>
                  </w:txbxContent>
                </v:textbox>
                <w10:wrap type="none"/>
              </v:rect>
            </w:pict>
          </mc:Fallback>
        </mc:AlternateContent>
      </w:r>
      <w:r>
        <mc:AlternateContent>
          <mc:Choice Requires="wps">
            <w:drawing>
              <wp:anchor behindDoc="0" distT="0" distB="0" distL="0" distR="0" simplePos="0" locked="0" layoutInCell="1" allowOverlap="1" relativeHeight="3">
                <wp:simplePos x="0" y="0"/>
                <wp:positionH relativeFrom="page">
                  <wp:posOffset>0</wp:posOffset>
                </wp:positionH>
                <wp:positionV relativeFrom="page">
                  <wp:posOffset>0</wp:posOffset>
                </wp:positionV>
                <wp:extent cx="5054600" cy="3051175"/>
                <wp:effectExtent l="0" t="0" r="0" b="0"/>
                <wp:wrapNone/>
                <wp:docPr id="6" name="Frame2"/>
                <a:graphic xmlns:a="http://schemas.openxmlformats.org/drawingml/2006/main">
                  <a:graphicData uri="http://schemas.microsoft.com/office/word/2010/wordprocessingShape">
                    <wps:wsp>
                      <wps:cNvSpPr txBox="1"/>
                      <wps:spPr>
                        <a:xfrm>
                          <a:off x="0" y="0"/>
                          <a:ext cx="5054600" cy="3051175"/>
                        </a:xfrm>
                        <a:prstGeom prst="rect"/>
                        <a:solidFill>
                          <a:srgbClr val="FFFFFF"/>
                        </a:solidFill>
                      </wps:spPr>
                      <wps:txbx>
                        <w:txbxContent>
                          <w:p>
                            <w:pPr>
                              <w:pStyle w:val="TextBody"/>
                              <w:bidi w:val="0"/>
                              <w:spacing w:before="0" w:after="283"/>
                              <w:jc w:val="center"/>
                              <w:rPr>
                                <w:rFonts w:ascii="sans-serif" w:hAnsi="sans-serif"/>
                                <w:color w:val="EE0000"/>
                                <w:sz w:val="2"/>
                              </w:rPr>
                            </w:pPr>
                            <w:r>
                              <w:rPr>
                                <w:rFonts w:ascii="sans-serif" w:hAnsi="sans-serif"/>
                                <w:color w:val="EE0000"/>
                                <w:sz w:val="2"/>
                              </w:rPr>
                              <w:t>DRAFT</w:t>
                            </w:r>
                          </w:p>
                        </w:txbxContent>
                      </wps:txbx>
                      <wps:bodyPr anchor="t" lIns="0" tIns="0" rIns="0" bIns="0">
                        <a:noAutofit/>
                      </wps:bodyPr>
                    </wps:wsp>
                  </a:graphicData>
                </a:graphic>
              </wp:anchor>
            </w:drawing>
          </mc:Choice>
          <mc:Fallback>
            <w:pict>
              <v:rect style="position:absolute;rotation:-0;width:398pt;height:240.25pt;mso-wrap-distance-left:0pt;mso-wrap-distance-right:0pt;mso-wrap-distance-top:0pt;mso-wrap-distance-bottom:0pt;margin-top:0pt;mso-position-vertical-relative:page;margin-left:0pt;mso-position-horizontal-relative:page">
                <v:textbox inset="0in,0in,0in,0in">
                  <w:txbxContent>
                    <w:p>
                      <w:pPr>
                        <w:pStyle w:val="TextBody"/>
                        <w:bidi w:val="0"/>
                        <w:spacing w:before="0" w:after="283"/>
                        <w:jc w:val="center"/>
                        <w:rPr>
                          <w:rFonts w:ascii="sans-serif" w:hAnsi="sans-serif"/>
                          <w:color w:val="EE0000"/>
                          <w:sz w:val="2"/>
                        </w:rPr>
                      </w:pPr>
                      <w:r>
                        <w:rPr>
                          <w:rFonts w:ascii="sans-serif" w:hAnsi="sans-serif"/>
                          <w:color w:val="EE0000"/>
                          <w:sz w:val="2"/>
                        </w:rPr>
                        <w:t>DRAFT</w:t>
                      </w:r>
                    </w:p>
                  </w:txbxContent>
                </v:textbox>
                <w10:wrap type="none"/>
              </v:rect>
            </w:pict>
          </mc:Fallback>
        </mc:AlternateContent>
      </w:r>
      <w:r>
        <mc:AlternateContent>
          <mc:Choice Requires="wps">
            <w:drawing>
              <wp:anchor behindDoc="0" distT="0" distB="0" distL="0" distR="0" simplePos="0" locked="0" layoutInCell="1" allowOverlap="1" relativeHeight="2">
                <wp:simplePos x="0" y="0"/>
                <wp:positionH relativeFrom="page">
                  <wp:posOffset>0</wp:posOffset>
                </wp:positionH>
                <wp:positionV relativeFrom="page">
                  <wp:posOffset>0</wp:posOffset>
                </wp:positionV>
                <wp:extent cx="5054600" cy="3051175"/>
                <wp:effectExtent l="0" t="0" r="0" b="0"/>
                <wp:wrapNone/>
                <wp:docPr id="7" name="Frame1"/>
                <a:graphic xmlns:a="http://schemas.openxmlformats.org/drawingml/2006/main">
                  <a:graphicData uri="http://schemas.microsoft.com/office/word/2010/wordprocessingShape">
                    <wps:wsp>
                      <wps:cNvSpPr txBox="1"/>
                      <wps:spPr>
                        <a:xfrm>
                          <a:off x="0" y="0"/>
                          <a:ext cx="5054600" cy="3051175"/>
                        </a:xfrm>
                        <a:prstGeom prst="rect"/>
                        <a:solidFill>
                          <a:srgbClr val="FFFFFF"/>
                        </a:solidFill>
                      </wps:spPr>
                      <wps:txbx>
                        <w:txbxContent>
                          <w:p>
                            <w:pPr>
                              <w:pStyle w:val="TextBody"/>
                              <w:bidi w:val="0"/>
                              <w:spacing w:before="0" w:after="283"/>
                              <w:jc w:val="center"/>
                              <w:rPr>
                                <w:rFonts w:ascii="sans-serif" w:hAnsi="sans-serif"/>
                                <w:color w:val="EE0000"/>
                                <w:sz w:val="2"/>
                              </w:rPr>
                            </w:pPr>
                            <w:r>
                              <w:rPr>
                                <w:rFonts w:ascii="sans-serif" w:hAnsi="sans-serif"/>
                                <w:color w:val="EE0000"/>
                                <w:sz w:val="2"/>
                              </w:rPr>
                              <w:t>DRAFT</w:t>
                            </w:r>
                          </w:p>
                        </w:txbxContent>
                      </wps:txbx>
                      <wps:bodyPr anchor="t" lIns="0" tIns="0" rIns="0" bIns="0">
                        <a:noAutofit/>
                      </wps:bodyPr>
                    </wps:wsp>
                  </a:graphicData>
                </a:graphic>
              </wp:anchor>
            </w:drawing>
          </mc:Choice>
          <mc:Fallback>
            <w:pict>
              <v:rect style="position:absolute;rotation:-0;width:398pt;height:240.25pt;mso-wrap-distance-left:0pt;mso-wrap-distance-right:0pt;mso-wrap-distance-top:0pt;mso-wrap-distance-bottom:0pt;margin-top:0pt;mso-position-vertical-relative:page;margin-left:0pt;mso-position-horizontal-relative:page">
                <v:textbox inset="0in,0in,0in,0in">
                  <w:txbxContent>
                    <w:p>
                      <w:pPr>
                        <w:pStyle w:val="TextBody"/>
                        <w:bidi w:val="0"/>
                        <w:spacing w:before="0" w:after="283"/>
                        <w:jc w:val="center"/>
                        <w:rPr>
                          <w:rFonts w:ascii="sans-serif" w:hAnsi="sans-serif"/>
                          <w:color w:val="EE0000"/>
                          <w:sz w:val="2"/>
                        </w:rPr>
                      </w:pPr>
                      <w:r>
                        <w:rPr>
                          <w:rFonts w:ascii="sans-serif" w:hAnsi="sans-serif"/>
                          <w:color w:val="EE0000"/>
                          <w:sz w:val="2"/>
                        </w:rPr>
                        <w:t>DRAFT</w:t>
                      </w:r>
                    </w:p>
                  </w:txbxContent>
                </v:textbox>
                <w10:wrap type="none"/>
              </v:rect>
            </w:pict>
          </mc:Fallback>
        </mc:AlternateContent>
      </w:r>
    </w:p>
    <w:p>
      <w:pPr>
        <w:pStyle w:val="TextBody"/>
        <w:bidi w:val="0"/>
        <w:spacing w:before="115" w:after="283"/>
        <w:jc w:val="center"/>
        <w:rPr>
          <w:rFonts w:ascii="Times New Roman" w:hAnsi="Times New Roman"/>
          <w:sz w:val="20"/>
        </w:rPr>
      </w:pPr>
      <w:r>
        <w:rPr>
          <w:rFonts w:ascii="Times New Roman" w:hAnsi="Times New Roman"/>
          <w:b/>
          <w:color w:val="000000"/>
          <w:sz w:val="36"/>
        </w:rPr>
        <w:t>UNITED STATES</w:t>
        <w:br/>
        <w:t>SECURITIES AND EXCHANGE COMMISSION</w:t>
        <w:br/>
      </w:r>
      <w:r>
        <w:rPr>
          <w:rFonts w:ascii="Times New Roman" w:hAnsi="Times New Roman"/>
          <w:b/>
          <w:color w:val="000000"/>
          <w:sz w:val="24"/>
        </w:rPr>
        <w:t>WASHINGTON, D.C. 20549</w:t>
      </w:r>
    </w:p>
    <w:p>
      <w:pPr>
        <w:pStyle w:val="TextBody"/>
        <w:pBdr>
          <w:bottom w:val="single" w:sz="6" w:space="1" w:color="000000"/>
        </w:pBdr>
        <w:bidi w:val="0"/>
        <w:jc w:val="left"/>
        <w:rPr/>
      </w:pPr>
      <w:r>
        <w:rPr/>
        <w:t> </w:t>
      </w:r>
    </w:p>
    <w:p>
      <w:pPr>
        <w:pStyle w:val="Heading2"/>
        <w:bidi w:val="0"/>
        <w:spacing w:before="200" w:after="283"/>
        <w:jc w:val="center"/>
        <w:rPr>
          <w:rFonts w:ascii="Times New Roman" w:hAnsi="Times New Roman"/>
          <w:sz w:val="20"/>
        </w:rPr>
      </w:pPr>
      <w:r>
        <w:rPr>
          <w:rFonts w:ascii="Times New Roman" w:hAnsi="Times New Roman"/>
          <w:color w:val="000000"/>
          <w:sz w:val="36"/>
        </w:rPr>
        <w:t xml:space="preserve">FORM </w:t>
      </w:r>
      <w:r>
        <w:rPr>
          <w:rFonts w:ascii="Times New Roman" w:hAnsi="Times New Roman"/>
          <w:b/>
          <w:color w:val="000000"/>
          <w:sz w:val="36"/>
        </w:rPr>
        <w:t>8-K</w:t>
      </w:r>
    </w:p>
    <w:p>
      <w:pPr>
        <w:pStyle w:val="TextBody"/>
        <w:pBdr>
          <w:bottom w:val="single" w:sz="6" w:space="1" w:color="000000"/>
        </w:pBdr>
        <w:bidi w:val="0"/>
        <w:jc w:val="left"/>
        <w:rPr/>
      </w:pPr>
      <w:r>
        <w:rPr/>
        <w:t> </w:t>
      </w:r>
    </w:p>
    <w:p>
      <w:pPr>
        <w:pStyle w:val="TextBody"/>
        <w:bidi w:val="0"/>
        <w:spacing w:before="180" w:after="283"/>
        <w:jc w:val="center"/>
        <w:rPr>
          <w:rFonts w:ascii="Times New Roman" w:hAnsi="Times New Roman"/>
          <w:b/>
          <w:color w:val="000000"/>
          <w:sz w:val="24"/>
        </w:rPr>
      </w:pPr>
      <w:r>
        <w:rPr>
          <w:rFonts w:ascii="Times New Roman" w:hAnsi="Times New Roman"/>
          <w:b/>
          <w:color w:val="000000"/>
          <w:sz w:val="24"/>
        </w:rPr>
        <w:t>CURRENT REPORT</w:t>
      </w:r>
    </w:p>
    <w:p>
      <w:pPr>
        <w:pStyle w:val="TextBody"/>
        <w:bidi w:val="0"/>
        <w:spacing w:before="180" w:after="120"/>
        <w:jc w:val="center"/>
        <w:rPr>
          <w:rFonts w:ascii="Times New Roman" w:hAnsi="Times New Roman"/>
          <w:b/>
          <w:color w:val="000000"/>
          <w:sz w:val="24"/>
        </w:rPr>
      </w:pPr>
      <w:r>
        <w:rPr>
          <w:rFonts w:ascii="Times New Roman" w:hAnsi="Times New Roman"/>
          <w:b/>
          <w:color w:val="000000"/>
          <w:sz w:val="24"/>
        </w:rPr>
        <w:t>Pursuant to Section 13 or 15(d) of the Securities Exchange Act of 1934</w:t>
      </w:r>
    </w:p>
    <w:tbl>
      <w:tblPr>
        <w:tblW w:w="5566" w:type="dxa"/>
        <w:jc w:val="left"/>
        <w:tblInd w:w="0" w:type="dxa"/>
        <w:tblLayout w:type="fixed"/>
        <w:tblCellMar>
          <w:top w:w="28" w:type="dxa"/>
          <w:left w:w="28" w:type="dxa"/>
          <w:bottom w:w="28" w:type="dxa"/>
          <w:right w:w="28" w:type="dxa"/>
        </w:tblCellMar>
      </w:tblPr>
      <w:tblGrid>
        <w:gridCol w:w="5566"/>
      </w:tblGrid>
      <w:tr>
        <w:trPr/>
        <w:tc>
          <w:tcPr>
            <w:tcW w:w="5566" w:type="dxa"/>
            <w:tcBorders/>
            <w:vAlign w:val="center"/>
          </w:tcPr>
          <w:p>
            <w:pPr>
              <w:pStyle w:val="TableContents"/>
              <w:bidi w:val="0"/>
              <w:spacing w:before="0" w:after="283"/>
              <w:jc w:val="left"/>
              <w:rPr>
                <w:sz w:val="4"/>
                <w:szCs w:val="4"/>
              </w:rPr>
            </w:pPr>
            <w:r>
              <w:rPr>
                <w:sz w:val="4"/>
                <w:szCs w:val="4"/>
              </w:rPr>
            </w:r>
          </w:p>
        </w:tc>
      </w:tr>
      <w:tr>
        <w:trPr/>
        <w:tc>
          <w:tcPr>
            <w:tcW w:w="556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Date of Report (Date of earliest event reported): August 13, 2026</w:t>
            </w:r>
          </w:p>
        </w:tc>
      </w:tr>
    </w:tbl>
    <w:p>
      <w:pPr>
        <w:pStyle w:val="TextBody"/>
        <w:pBdr>
          <w:bottom w:val="single" w:sz="6" w:space="1" w:color="000000"/>
        </w:pBdr>
        <w:bidi w:val="0"/>
        <w:spacing w:before="100" w:after="283"/>
        <w:jc w:val="left"/>
        <w:rPr/>
      </w:pPr>
      <w:r>
        <w:rPr/>
        <w:t> </w:t>
      </w:r>
    </w:p>
    <w:p>
      <w:pPr>
        <w:pStyle w:val="TextBody"/>
        <w:bidi w:val="0"/>
        <w:jc w:val="left"/>
        <w:rPr/>
      </w:pPr>
      <w:r>
        <w:rPr/>
        <w:t> </w:t>
      </w:r>
    </w:p>
    <w:p>
      <w:pPr>
        <w:pStyle w:val="TextBody"/>
        <w:bidi w:val="0"/>
        <w:spacing w:before="100" w:after="283"/>
        <w:jc w:val="center"/>
        <w:rPr>
          <w:rFonts w:ascii="Times New Roman" w:hAnsi="Times New Roman"/>
          <w:b/>
          <w:color w:val="000000"/>
          <w:sz w:val="48"/>
        </w:rPr>
      </w:pPr>
      <w:r>
        <w:rPr>
          <w:rFonts w:ascii="Times New Roman" w:hAnsi="Times New Roman"/>
          <w:b/>
          <w:color w:val="000000"/>
          <w:sz w:val="48"/>
        </w:rPr>
        <w:t>EIKON THERAPEUTICS, INC.</w:t>
      </w:r>
    </w:p>
    <w:p>
      <w:pPr>
        <w:pStyle w:val="TextBody"/>
        <w:bidi w:val="0"/>
        <w:spacing w:before="60" w:after="283"/>
        <w:jc w:val="center"/>
        <w:rPr>
          <w:rFonts w:ascii="Times New Roman" w:hAnsi="Times New Roman"/>
          <w:b/>
          <w:color w:val="000000"/>
          <w:sz w:val="15"/>
        </w:rPr>
      </w:pPr>
      <w:r>
        <w:rPr>
          <w:rFonts w:ascii="Times New Roman" w:hAnsi="Times New Roman"/>
          <w:b/>
          <w:color w:val="000000"/>
          <w:sz w:val="15"/>
        </w:rPr>
        <w:t>(Exact name of Registrant as Specified in Its Charter)</w:t>
      </w:r>
    </w:p>
    <w:p>
      <w:pPr>
        <w:pStyle w:val="TextBody"/>
        <w:pBdr>
          <w:bottom w:val="single" w:sz="6" w:space="1" w:color="000000"/>
        </w:pBdr>
        <w:bidi w:val="0"/>
        <w:spacing w:before="180" w:after="283"/>
        <w:jc w:val="left"/>
        <w:rPr/>
      </w:pPr>
      <w:r>
        <w:rPr/>
        <w:t> </w:t>
      </w:r>
    </w:p>
    <w:p>
      <w:pPr>
        <w:pStyle w:val="TextBody"/>
        <w:bidi w:val="0"/>
        <w:jc w:val="left"/>
        <w:rPr/>
      </w:pPr>
      <w:r>
        <w:rPr/>
        <w:t> </w:t>
      </w:r>
    </w:p>
    <w:tbl>
      <w:tblPr>
        <w:tblW w:w="5866" w:type="dxa"/>
        <w:jc w:val="left"/>
        <w:tblInd w:w="0" w:type="dxa"/>
        <w:tblLayout w:type="fixed"/>
        <w:tblCellMar>
          <w:top w:w="28" w:type="dxa"/>
          <w:left w:w="28" w:type="dxa"/>
          <w:bottom w:w="28" w:type="dxa"/>
          <w:right w:w="28" w:type="dxa"/>
        </w:tblCellMar>
      </w:tblPr>
      <w:tblGrid>
        <w:gridCol w:w="949"/>
        <w:gridCol w:w="865"/>
        <w:gridCol w:w="870"/>
        <w:gridCol w:w="1846"/>
        <w:gridCol w:w="1336"/>
      </w:tblGrid>
      <w:tr>
        <w:trPr/>
        <w:tc>
          <w:tcPr>
            <w:tcW w:w="949"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1846"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r>
      <w:tr>
        <w:trPr/>
        <w:tc>
          <w:tcPr>
            <w:tcW w:w="2684"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001-43085</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84-2807586</w:t>
            </w:r>
          </w:p>
        </w:tc>
      </w:tr>
      <w:tr>
        <w:trPr/>
        <w:tc>
          <w:tcPr>
            <w:tcW w:w="2684"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(State or Other Jurisdiction</w:t>
              <w:br/>
              <w:t>of Incorporation)</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(Commission File Number)</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(IRS Employer</w:t>
              <w:br/>
              <w:t>Identification No.)</w:t>
            </w:r>
          </w:p>
        </w:tc>
      </w:tr>
      <w:tr>
        <w:trPr/>
        <w:tc>
          <w:tcPr>
            <w:tcW w:w="949" w:type="dxa"/>
            <w:tcBorders/>
            <w:tcMar>
              <w:top w:w="0" w:type="dxa"/>
              <w:left w:w="0" w:type="dxa"/>
              <w:bottom w:w="0" w:type="dxa"/>
              <w:right w:w="0" w:type="dxa"/>
            </w:tcMar>
            <w:vAlign w:val="center"/>
          </w:tcPr>
          <w:p>
            <w:pPr>
              <w:pStyle w:val="TableContents"/>
              <w:bidi w:val="0"/>
              <w:spacing w:before="0" w:after="283"/>
              <w:jc w:val="center"/>
              <w:rPr/>
            </w:pPr>
            <w:r>
              <w:rPr/>
              <w:t> </w:t>
            </w:r>
          </w:p>
        </w:tc>
        <w:tc>
          <w:tcPr>
            <w:tcW w:w="865" w:type="dxa"/>
            <w:tcBorders/>
            <w:tcMar>
              <w:top w:w="0" w:type="dxa"/>
              <w:left w:w="0" w:type="dxa"/>
              <w:bottom w:w="0" w:type="dxa"/>
              <w:right w:w="0" w:type="dxa"/>
            </w:tcMar>
            <w:vAlign w:val="center"/>
          </w:tcPr>
          <w:p>
            <w:pPr>
              <w:pStyle w:val="TableContents"/>
              <w:bidi w:val="0"/>
              <w:spacing w:before="0" w:after="283"/>
              <w:jc w:val="center"/>
              <w:rPr/>
            </w:pPr>
            <w:r>
              <w:rPr/>
              <w:t> </w:t>
            </w:r>
          </w:p>
        </w:tc>
        <w:tc>
          <w:tcPr>
            <w:tcW w:w="870" w:type="dxa"/>
            <w:tcBorders/>
            <w:tcMar>
              <w:top w:w="0" w:type="dxa"/>
              <w:left w:w="0" w:type="dxa"/>
              <w:bottom w:w="0" w:type="dxa"/>
              <w:right w:w="0" w:type="dxa"/>
            </w:tcMar>
            <w:vAlign w:val="center"/>
          </w:tcPr>
          <w:p>
            <w:pPr>
              <w:pStyle w:val="TableContents"/>
              <w:bidi w:val="0"/>
              <w:spacing w:before="0" w:after="283"/>
              <w:jc w:val="center"/>
              <w:rPr/>
            </w:pPr>
            <w:r>
              <w:rPr/>
              <w:t> </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684"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230 Harriet Tubman Way</w:t>
            </w:r>
          </w:p>
        </w:tc>
        <w:tc>
          <w:tcPr>
            <w:tcW w:w="3182" w:type="dxa"/>
            <w:gridSpan w:val="2"/>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684"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Millbrae, California</w:t>
            </w:r>
          </w:p>
        </w:tc>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94030</w:t>
            </w:r>
          </w:p>
        </w:tc>
      </w:tr>
      <w:tr>
        <w:trPr/>
        <w:tc>
          <w:tcPr>
            <w:tcW w:w="2684"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(Address of Principal Executive Offices)</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(Zip Code)</w:t>
            </w:r>
          </w:p>
        </w:tc>
      </w:tr>
    </w:tbl>
    <w:p>
      <w:pPr>
        <w:pStyle w:val="TextBody"/>
        <w:bidi w:val="0"/>
        <w:jc w:val="left"/>
        <w:rPr/>
      </w:pPr>
      <w:r>
        <w:rPr/>
        <w:t> </w:t>
      </w:r>
    </w:p>
    <w:tbl>
      <w:tblPr>
        <w:tblW w:w="6076" w:type="dxa"/>
        <w:jc w:val="left"/>
        <w:tblInd w:w="0" w:type="dxa"/>
        <w:tblLayout w:type="fixed"/>
        <w:tblCellMar>
          <w:top w:w="28" w:type="dxa"/>
          <w:left w:w="28" w:type="dxa"/>
          <w:bottom w:w="28" w:type="dxa"/>
          <w:right w:w="28" w:type="dxa"/>
        </w:tblCellMar>
      </w:tblPr>
      <w:tblGrid>
        <w:gridCol w:w="6076"/>
      </w:tblGrid>
      <w:tr>
        <w:trPr/>
        <w:tc>
          <w:tcPr>
            <w:tcW w:w="6076" w:type="dxa"/>
            <w:tcBorders/>
            <w:vAlign w:val="center"/>
          </w:tcPr>
          <w:p>
            <w:pPr>
              <w:pStyle w:val="TableContents"/>
              <w:bidi w:val="0"/>
              <w:spacing w:before="0" w:after="283"/>
              <w:jc w:val="left"/>
              <w:rPr>
                <w:sz w:val="4"/>
                <w:szCs w:val="4"/>
              </w:rPr>
            </w:pPr>
            <w:r>
              <w:rPr>
                <w:sz w:val="4"/>
                <w:szCs w:val="4"/>
              </w:rPr>
            </w:r>
          </w:p>
        </w:tc>
      </w:tr>
      <w:tr>
        <w:trPr/>
        <w:tc>
          <w:tcPr>
            <w:tcW w:w="607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Registrant’s Telephone Number, Including Area Code:</w:t>
            </w:r>
            <w:r>
              <w:rPr>
                <w:rFonts w:ascii="Times New Roman" w:hAnsi="Times New Roman"/>
                <w:color w:val="000000"/>
                <w:sz w:val="20"/>
              </w:rPr>
              <w:t xml:space="preserve"> </w:t>
            </w:r>
            <w:r>
              <w:rPr>
                <w:rFonts w:ascii="Times New Roman" w:hAnsi="Times New Roman"/>
                <w:b/>
                <w:color w:val="000000"/>
                <w:sz w:val="20"/>
              </w:rPr>
              <w:t>(341)</w:t>
            </w:r>
            <w:r>
              <w:rPr>
                <w:rFonts w:ascii="Times New Roman" w:hAnsi="Times New Roman"/>
                <w:color w:val="000000"/>
                <w:sz w:val="20"/>
              </w:rPr>
              <w:t xml:space="preserve"> </w:t>
            </w:r>
            <w:r>
              <w:rPr>
                <w:rFonts w:ascii="Times New Roman" w:hAnsi="Times New Roman"/>
                <w:b/>
                <w:color w:val="000000"/>
                <w:sz w:val="20"/>
              </w:rPr>
              <w:t>777-0566</w:t>
            </w:r>
          </w:p>
        </w:tc>
      </w:tr>
    </w:tbl>
    <w:p>
      <w:pPr>
        <w:pStyle w:val="TextBody"/>
        <w:bidi w:val="0"/>
        <w:jc w:val="left"/>
        <w:rPr/>
      </w:pPr>
      <w:r>
        <w:rPr/>
        <w:t> </w:t>
      </w:r>
    </w:p>
    <w:tbl>
      <w:tblPr>
        <w:tblW w:w="1426" w:type="dxa"/>
        <w:jc w:val="left"/>
        <w:tblInd w:w="0" w:type="dxa"/>
        <w:tblLayout w:type="fixed"/>
        <w:tblCellMar>
          <w:top w:w="28" w:type="dxa"/>
          <w:left w:w="28" w:type="dxa"/>
          <w:bottom w:w="28" w:type="dxa"/>
          <w:right w:w="28" w:type="dxa"/>
        </w:tblCellMar>
      </w:tblPr>
      <w:tblGrid>
        <w:gridCol w:w="1426"/>
      </w:tblGrid>
      <w:tr>
        <w:trPr/>
        <w:tc>
          <w:tcPr>
            <w:tcW w:w="1426" w:type="dxa"/>
            <w:tcBorders/>
            <w:vAlign w:val="center"/>
          </w:tcPr>
          <w:p>
            <w:pPr>
              <w:pStyle w:val="TableContents"/>
              <w:bidi w:val="0"/>
              <w:spacing w:before="0" w:after="283"/>
              <w:jc w:val="left"/>
              <w:rPr>
                <w:sz w:val="4"/>
                <w:szCs w:val="4"/>
              </w:rPr>
            </w:pPr>
            <w:r>
              <w:rPr>
                <w:sz w:val="4"/>
                <w:szCs w:val="4"/>
              </w:rPr>
            </w:r>
          </w:p>
        </w:tc>
      </w:tr>
      <w:tr>
        <w:trPr/>
        <w:tc>
          <w:tcPr>
            <w:tcW w:w="14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Not Applicable</w:t>
            </w:r>
          </w:p>
        </w:tc>
      </w:tr>
    </w:tbl>
    <w:p>
      <w:pPr>
        <w:pStyle w:val="TextBody"/>
        <w:bidi w:val="0"/>
        <w:jc w:val="center"/>
        <w:rPr>
          <w:rFonts w:ascii="Times New Roman" w:hAnsi="Times New Roman"/>
          <w:b/>
          <w:color w:val="000000"/>
          <w:sz w:val="15"/>
        </w:rPr>
      </w:pPr>
      <w:r>
        <w:rPr>
          <w:rFonts w:ascii="Times New Roman" w:hAnsi="Times New Roman"/>
          <w:b/>
          <w:color w:val="000000"/>
          <w:sz w:val="15"/>
        </w:rPr>
        <w:t>(Former Name or Former Address, if Changed Since Last Report)</w:t>
      </w:r>
    </w:p>
    <w:p>
      <w:pPr>
        <w:pStyle w:val="TextBody"/>
        <w:pBdr>
          <w:bottom w:val="single" w:sz="6" w:space="1" w:color="000000"/>
        </w:pBdr>
        <w:bidi w:val="0"/>
        <w:spacing w:before="187" w:after="283"/>
        <w:jc w:val="left"/>
        <w:rPr/>
      </w:pPr>
      <w:r>
        <w:rPr/>
        <w:t> </w:t>
      </w:r>
    </w:p>
    <w:p>
      <w:pPr>
        <w:pStyle w:val="TextBody"/>
        <w:bidi w:val="0"/>
        <w:spacing w:before="187" w:after="120"/>
        <w:jc w:val="left"/>
        <w:rPr>
          <w:rFonts w:ascii="Times New Roman" w:hAnsi="Times New Roman"/>
          <w:color w:val="000000"/>
          <w:sz w:val="20"/>
        </w:rPr>
      </w:pPr>
      <w:r>
        <w:rPr>
          <w:rFonts w:ascii="Times New Roman" w:hAnsi="Times New Roman"/>
          <w:color w:val="000000"/>
          <w:sz w:val="20"/>
        </w:rPr>
        <w:t xml:space="preserve">Check the appropriate box below if the Form 8-K filing is intended to simultaneously satisfy the filing obligation of the registrant under any of the following provisions: </w:t>
      </w:r>
    </w:p>
    <w:p>
      <w:pPr>
        <w:pStyle w:val="TextBody"/>
        <w:bidi w:val="0"/>
        <w:spacing w:before="60" w:after="283"/>
        <w:ind w:left="0" w:right="0" w:hanging="490"/>
        <w:jc w:val="left"/>
        <w:rPr/>
      </w:pPr>
      <w:r>
        <w:rPr/>
        <w:t>☐</w:t>
      </w:r>
      <w:r>
        <w:rPr>
          <w:rFonts w:ascii="Times New Roman" w:hAnsi="Times New Roman"/>
          <w:color w:val="000000"/>
          <w:sz w:val="20"/>
        </w:rPr>
        <w:t>Written communications pursuant to Rule 425 under the Securities Act (17 CFR 230.425)</w:t>
      </w:r>
    </w:p>
    <w:p>
      <w:pPr>
        <w:pStyle w:val="TextBody"/>
        <w:bidi w:val="0"/>
        <w:spacing w:before="120" w:after="283"/>
        <w:ind w:left="0" w:right="0" w:hanging="490"/>
        <w:jc w:val="left"/>
        <w:rPr/>
      </w:pPr>
      <w:r>
        <w:rPr/>
        <w:t>☐</w:t>
      </w:r>
      <w:r>
        <w:rPr>
          <w:rFonts w:ascii="Times New Roman" w:hAnsi="Times New Roman"/>
          <w:color w:val="000000"/>
          <w:sz w:val="20"/>
        </w:rPr>
        <w:t>Soliciting material pursuant to Rule 14a-12 under the Exchange Act (17 CFR 240.14a-12)</w:t>
      </w:r>
    </w:p>
    <w:p>
      <w:pPr>
        <w:pStyle w:val="TextBody"/>
        <w:bidi w:val="0"/>
        <w:spacing w:before="120" w:after="283"/>
        <w:ind w:left="0" w:right="0" w:hanging="490"/>
        <w:jc w:val="left"/>
        <w:rPr/>
      </w:pPr>
      <w:r>
        <w:rPr/>
        <w:t>☐</w:t>
      </w:r>
      <w:r>
        <w:rPr>
          <w:rFonts w:ascii="Times New Roman" w:hAnsi="Times New Roman"/>
          <w:color w:val="000000"/>
          <w:sz w:val="20"/>
        </w:rPr>
        <w:t>Pre-commencement communications pursuant to Rule 14d-2(b) under the Exchange Act (17 CFR 240.14d-2(b))</w:t>
      </w:r>
    </w:p>
    <w:p>
      <w:pPr>
        <w:pStyle w:val="TextBody"/>
        <w:bidi w:val="0"/>
        <w:spacing w:before="120" w:after="283"/>
        <w:ind w:left="0" w:right="0" w:hanging="490"/>
        <w:jc w:val="left"/>
        <w:rPr/>
      </w:pPr>
      <w:r>
        <w:rPr/>
        <w:t>☐</w:t>
      </w:r>
      <w:r>
        <w:rPr>
          <w:rFonts w:ascii="Times New Roman" w:hAnsi="Times New Roman"/>
          <w:color w:val="000000"/>
          <w:sz w:val="20"/>
        </w:rPr>
        <w:t>Pre-commencement communications pursuant to Rule 13e-4(c) under the Exchange Act (17 CFR 240.13e-4(c))</w:t>
      </w:r>
    </w:p>
    <w:p>
      <w:pPr>
        <w:pStyle w:val="TextBody"/>
        <w:bidi w:val="0"/>
        <w:spacing w:before="180" w:after="180"/>
        <w:jc w:val="center"/>
        <w:rPr>
          <w:rFonts w:ascii="Times New Roman" w:hAnsi="Times New Roman"/>
          <w:b/>
          <w:color w:val="000000"/>
          <w:sz w:val="20"/>
        </w:rPr>
      </w:pPr>
      <w:r>
        <w:rPr>
          <w:rFonts w:ascii="Times New Roman" w:hAnsi="Times New Roman"/>
          <w:b/>
          <w:color w:val="000000"/>
          <w:sz w:val="20"/>
        </w:rPr>
        <w:t>Securities registered pursuant to Section 12(b) of the Act:</w:t>
      </w:r>
    </w:p>
    <w:tbl>
      <w:tblPr>
        <w:tblW w:w="8770" w:type="dxa"/>
        <w:jc w:val="left"/>
        <w:tblInd w:w="0" w:type="dxa"/>
        <w:tblLayout w:type="fixed"/>
        <w:tblCellMar>
          <w:top w:w="28" w:type="dxa"/>
          <w:left w:w="28" w:type="dxa"/>
          <w:bottom w:w="28" w:type="dxa"/>
          <w:right w:w="28" w:type="dxa"/>
        </w:tblCellMar>
      </w:tblPr>
      <w:tblGrid>
        <w:gridCol w:w="3706"/>
        <w:gridCol w:w="146"/>
        <w:gridCol w:w="946"/>
        <w:gridCol w:w="146"/>
        <w:gridCol w:w="3826"/>
      </w:tblGrid>
      <w:tr>
        <w:trPr/>
        <w:tc>
          <w:tcPr>
            <w:tcW w:w="37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26" w:type="dxa"/>
            <w:tcBorders/>
            <w:vAlign w:val="center"/>
          </w:tcPr>
          <w:p>
            <w:pPr>
              <w:pStyle w:val="TableContents"/>
              <w:bidi w:val="0"/>
              <w:spacing w:before="0" w:after="283"/>
              <w:jc w:val="left"/>
              <w:rPr>
                <w:sz w:val="4"/>
                <w:szCs w:val="4"/>
              </w:rPr>
            </w:pPr>
            <w:r>
              <w:rPr>
                <w:sz w:val="4"/>
                <w:szCs w:val="4"/>
              </w:rPr>
            </w:r>
          </w:p>
        </w:tc>
      </w:tr>
      <w:tr>
        <w:trPr/>
        <w:tc>
          <w:tcPr>
            <w:tcW w:w="370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Title of each class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94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Trading</w:t>
              <w:br/>
              <w:t>Symbol(s)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382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Name of each exchange on which registered</w:t>
            </w:r>
          </w:p>
        </w:tc>
      </w:tr>
      <w:tr>
        <w:trPr/>
        <w:tc>
          <w:tcPr>
            <w:tcW w:w="370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Common Stock, $0.0001 par value per share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EIKN</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The Nasdaq Stock Market LLC</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Indicate by check mark whether the registrant is an emerging growth company as defined in Rule 405 of the Securities Act of 1933 (§ 230.405 of this chapter) or Rule 12b-2 of the Securities Exchange Act of 1934 (§ 240.12b-2 of this chapter). </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Emerging growth company </w:t>
      </w:r>
      <w:r>
        <w:rPr>
          <w:rFonts w:ascii="Times New Roman" w:hAnsi="Times New Roman"/>
          <w:sz w:val="20"/>
        </w:rPr>
        <w:t>☒</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sz w:val="20"/>
        </w:rPr>
        <w:t>☐</w:t>
      </w:r>
    </w:p>
    <w:p>
      <w:pPr>
        <w:pStyle w:val="TextBody"/>
        <w:pBdr>
          <w:bottom w:val="double" w:sz="6" w:space="1" w:color="000000"/>
        </w:pBdr>
        <w:bidi w:val="0"/>
        <w:jc w:val="left"/>
        <w:rPr/>
      </w:pPr>
      <w:r>
        <w:rPr/>
        <w:t> </w:t>
      </w:r>
    </w:p>
    <w:p>
      <w:pPr>
        <w:pStyle w:val="HorizontalLine"/>
        <w:pBdr>
          <w:bottom w:val="double" w:sz="2" w:space="0" w:color="808080"/>
        </w:pBdr>
        <w:bidi w:val="0"/>
        <w:spacing w:before="0" w:after="283"/>
        <w:jc w:val="left"/>
        <w:rPr/>
      </w:pPr>
      <w:r>
        <w:rPr/>
      </w:r>
    </w:p>
    <w:p>
      <w:pPr>
        <w:pStyle w:val="Heading2"/>
        <w:bidi w:val="0"/>
        <w:spacing w:before="360" w:after="120"/>
        <w:jc w:val="left"/>
        <w:rPr>
          <w:rFonts w:ascii="Times New Roman" w:hAnsi="Times New Roman"/>
          <w:color w:val="000000"/>
          <w:sz w:val="20"/>
        </w:rPr>
      </w:pPr>
      <w:r>
        <w:rPr>
          <w:rFonts w:ascii="Times New Roman" w:hAnsi="Times New Roman"/>
          <w:color w:val="000000"/>
          <w:sz w:val="20"/>
        </w:rPr>
        <w:t>Item 2.02 Results of Operations and Financial Condition.</w:t>
      </w:r>
    </w:p>
    <w:p>
      <w:pPr>
        <w:pStyle w:val="TextBody"/>
        <w:bidi w:val="0"/>
        <w:jc w:val="left"/>
        <w:rPr>
          <w:rFonts w:ascii="Times New Roman" w:hAnsi="Times New Roman"/>
          <w:color w:val="000000"/>
          <w:sz w:val="20"/>
        </w:rPr>
      </w:pPr>
      <w:r>
        <w:rPr>
          <w:rFonts w:ascii="Times New Roman" w:hAnsi="Times New Roman"/>
          <w:color w:val="000000"/>
          <w:sz w:val="20"/>
        </w:rPr>
        <w:t>On August 13, 2026, Eikon Therapeutics, Inc. issued a press release announcing clinical and corporate updates and its financial results for the quarter ended June 30, 2026 (the “Press Release”). A copy of the Press Release is furnished as Exhibit 99.1 to this Current Report on Form 8-K and is incorporated herein by reference.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information in Item 2.02, including Exhibit 99.1, is being “furnished” and shall not be deemed to be “filed” for purposes of Section 18 of the Securities Exchange Act of 1934, as amended (the “Exchange Act”), or otherwise subject to the liabilities of that section or Section 11 and 12(a)(2) of the Securities Act of 1933, as amended (the “Securities Act”). The information in Item 2.02, including Exhibit 99.1, shall not be incorporated by reference into any registration statement or other document pursuant to the Securities Act or into any filing or other document pursuant to the Exchange Act, except as otherwise expressly stated in any such filing.</w:t>
      </w:r>
    </w:p>
    <w:p>
      <w:pPr>
        <w:pStyle w:val="Heading2"/>
        <w:bidi w:val="0"/>
        <w:spacing w:before="360" w:after="120"/>
        <w:jc w:val="left"/>
        <w:rPr>
          <w:rFonts w:ascii="Times New Roman" w:hAnsi="Times New Roman"/>
          <w:color w:val="000000"/>
          <w:sz w:val="20"/>
        </w:rPr>
      </w:pPr>
      <w:r>
        <w:rPr>
          <w:rFonts w:ascii="Times New Roman" w:hAnsi="Times New Roman"/>
          <w:color w:val="000000"/>
          <w:sz w:val="20"/>
        </w:rPr>
        <w:t>Item 9.01 Financial Statements and Exhibits.</w:t>
      </w:r>
    </w:p>
    <w:p>
      <w:pPr>
        <w:pStyle w:val="TextBody"/>
        <w:bidi w:val="0"/>
        <w:jc w:val="left"/>
        <w:rPr>
          <w:rFonts w:ascii="Times New Roman" w:hAnsi="Times New Roman"/>
          <w:color w:val="000000"/>
          <w:sz w:val="20"/>
        </w:rPr>
      </w:pPr>
      <w:r>
        <w:rPr>
          <w:rFonts w:ascii="Times New Roman" w:hAnsi="Times New Roman"/>
          <w:color w:val="000000"/>
          <w:sz w:val="20"/>
        </w:rPr>
        <w:t>(d) Exhibits</w:t>
      </w:r>
    </w:p>
    <w:p>
      <w:pPr>
        <w:pStyle w:val="TextBody"/>
        <w:bidi w:val="0"/>
        <w:jc w:val="left"/>
        <w:rPr/>
      </w:pPr>
      <w:r>
        <w:rPr/>
        <w:t> </w:t>
      </w:r>
    </w:p>
    <w:tbl>
      <w:tblPr>
        <w:tblW w:w="7498" w:type="dxa"/>
        <w:jc w:val="left"/>
        <w:tblInd w:w="0" w:type="dxa"/>
        <w:tblLayout w:type="fixed"/>
        <w:tblCellMar>
          <w:top w:w="28" w:type="dxa"/>
          <w:left w:w="28" w:type="dxa"/>
          <w:bottom w:w="28" w:type="dxa"/>
          <w:right w:w="28" w:type="dxa"/>
        </w:tblCellMar>
      </w:tblPr>
      <w:tblGrid>
        <w:gridCol w:w="706"/>
        <w:gridCol w:w="146"/>
        <w:gridCol w:w="6646"/>
      </w:tblGrid>
      <w:tr>
        <w:trPr/>
        <w:tc>
          <w:tcPr>
            <w:tcW w:w="7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646" w:type="dxa"/>
            <w:tcBorders/>
            <w:vAlign w:val="center"/>
          </w:tcPr>
          <w:p>
            <w:pPr>
              <w:pStyle w:val="TableContents"/>
              <w:bidi w:val="0"/>
              <w:spacing w:before="0" w:after="283"/>
              <w:jc w:val="left"/>
              <w:rPr>
                <w:sz w:val="4"/>
                <w:szCs w:val="4"/>
              </w:rPr>
            </w:pPr>
            <w:r>
              <w:rPr>
                <w:sz w:val="4"/>
                <w:szCs w:val="4"/>
              </w:rPr>
            </w:r>
          </w:p>
        </w:tc>
      </w:tr>
      <w:tr>
        <w:trPr/>
        <w:tc>
          <w:tcPr>
            <w:tcW w:w="706" w:type="dxa"/>
            <w:tcBorders>
              <w:bottom w:val="single" w:sz="2" w:space="0" w:color="000000"/>
            </w:tcBorders>
            <w:shd w:fill="FFFFFF" w:val="clear"/>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Exhibit</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w:t>
            </w:r>
          </w:p>
        </w:tc>
        <w:tc>
          <w:tcPr>
            <w:tcW w:w="1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6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Description</w:t>
            </w:r>
          </w:p>
        </w:tc>
      </w:tr>
      <w:tr>
        <w:trPr/>
        <w:tc>
          <w:tcPr>
            <w:tcW w:w="7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99.1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4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eikn-ex99_1.htm">
              <w:r>
                <w:rPr>
                  <w:rStyle w:val="InternetLink"/>
                  <w:rFonts w:ascii="Times New Roman" w:hAnsi="Times New Roman"/>
                  <w:color w:val="0000FF"/>
                  <w:sz w:val="20"/>
                  <w:u w:val="single"/>
                </w:rPr>
                <w:t>Press Release dated August 13, 2026.</w:t>
              </w:r>
            </w:hyperlink>
          </w:p>
        </w:tc>
      </w:tr>
      <w:tr>
        <w:trPr/>
        <w:tc>
          <w:tcPr>
            <w:tcW w:w="7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Interactive Data File (embedded within the Inline XBRL document).</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187"/>
        <w:jc w:val="center"/>
        <w:rPr>
          <w:rFonts w:ascii="Times New Roman" w:hAnsi="Times New Roman"/>
          <w:b/>
          <w:color w:val="000000"/>
          <w:sz w:val="20"/>
        </w:rPr>
      </w:pPr>
      <w:r>
        <w:rPr>
          <w:rFonts w:ascii="Times New Roman" w:hAnsi="Times New Roman"/>
          <w:b/>
          <w:color w:val="000000"/>
          <w:sz w:val="20"/>
        </w:rPr>
        <w:t>SIGNATURES</w:t>
      </w:r>
    </w:p>
    <w:p>
      <w:pPr>
        <w:pStyle w:val="TextBody"/>
        <w:bidi w:val="0"/>
        <w:spacing w:before="0" w:after="187"/>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hereunto duly authorized.</w:t>
      </w:r>
    </w:p>
    <w:tbl>
      <w:tblPr>
        <w:tblW w:w="5314" w:type="dxa"/>
        <w:jc w:val="left"/>
        <w:tblInd w:w="0" w:type="dxa"/>
        <w:tblLayout w:type="fixed"/>
        <w:tblCellMar>
          <w:top w:w="28" w:type="dxa"/>
          <w:left w:w="28" w:type="dxa"/>
          <w:bottom w:w="28" w:type="dxa"/>
          <w:right w:w="28" w:type="dxa"/>
        </w:tblCellMar>
      </w:tblPr>
      <w:tblGrid>
        <w:gridCol w:w="556"/>
        <w:gridCol w:w="1456"/>
        <w:gridCol w:w="451"/>
        <w:gridCol w:w="2851"/>
      </w:tblGrid>
      <w:tr>
        <w:trPr/>
        <w:tc>
          <w:tcPr>
            <w:tcW w:w="556" w:type="dxa"/>
            <w:tcBorders/>
            <w:vAlign w:val="center"/>
          </w:tcPr>
          <w:p>
            <w:pPr>
              <w:pStyle w:val="TableContents"/>
              <w:bidi w:val="0"/>
              <w:spacing w:before="0" w:after="283"/>
              <w:jc w:val="left"/>
              <w:rPr>
                <w:sz w:val="4"/>
                <w:szCs w:val="4"/>
              </w:rPr>
            </w:pPr>
            <w:r>
              <w:rPr>
                <w:sz w:val="4"/>
                <w:szCs w:val="4"/>
              </w:rPr>
            </w:r>
          </w:p>
        </w:tc>
        <w:tc>
          <w:tcPr>
            <w:tcW w:w="1456"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2851" w:type="dxa"/>
            <w:tcBorders/>
            <w:vAlign w:val="center"/>
          </w:tcPr>
          <w:p>
            <w:pPr>
              <w:pStyle w:val="TableContents"/>
              <w:bidi w:val="0"/>
              <w:spacing w:before="0" w:after="283"/>
              <w:jc w:val="left"/>
              <w:rPr>
                <w:sz w:val="4"/>
                <w:szCs w:val="4"/>
              </w:rPr>
            </w:pPr>
            <w:r>
              <w:rPr>
                <w:sz w:val="4"/>
                <w:szCs w:val="4"/>
              </w:rPr>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45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2851" w:type="dxa"/>
            <w:tcBorders/>
            <w:tcMar>
              <w:top w:w="0" w:type="dxa"/>
              <w:left w:w="0" w:type="dxa"/>
              <w:bottom w:w="0" w:type="dxa"/>
              <w:right w:w="0" w:type="dxa"/>
            </w:tcMar>
            <w:vAlign w:val="center"/>
          </w:tcPr>
          <w:p>
            <w:pPr>
              <w:pStyle w:val="TableContents"/>
              <w:bidi w:val="0"/>
              <w:spacing w:before="86" w:after="86"/>
              <w:jc w:val="left"/>
              <w:rPr>
                <w:rFonts w:ascii="Times New Roman" w:hAnsi="Times New Roman"/>
                <w:b/>
                <w:color w:val="000000"/>
                <w:sz w:val="20"/>
              </w:rPr>
            </w:pPr>
            <w:r>
              <w:rPr>
                <w:rFonts w:ascii="Times New Roman" w:hAnsi="Times New Roman"/>
                <w:b/>
                <w:color w:val="000000"/>
                <w:sz w:val="20"/>
              </w:rPr>
              <w:t>EIKON THERAPEUTICS, INC.</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45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285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56"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Date:</w:t>
            </w:r>
          </w:p>
        </w:tc>
        <w:tc>
          <w:tcPr>
            <w:tcW w:w="1456"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August 13, 2026</w:t>
            </w:r>
          </w:p>
        </w:tc>
        <w:tc>
          <w:tcPr>
            <w:tcW w:w="451"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 xml:space="preserve">By: </w:t>
            </w:r>
          </w:p>
        </w:tc>
        <w:tc>
          <w:tcPr>
            <w:tcW w:w="2851" w:type="dxa"/>
            <w:tcBorders>
              <w:bottom w:val="single" w:sz="2" w:space="0" w:color="000000"/>
            </w:tcBorders>
            <w:tcMar>
              <w:top w:w="0" w:type="dxa"/>
              <w:left w:w="0" w:type="dxa"/>
              <w:right w:w="0" w:type="dxa"/>
            </w:tcMar>
            <w:vAlign w:val="center"/>
          </w:tcPr>
          <w:p>
            <w:pPr>
              <w:pStyle w:val="TableContents"/>
              <w:bidi w:val="0"/>
              <w:spacing w:before="86" w:after="283"/>
              <w:jc w:val="center"/>
              <w:rPr>
                <w:rFonts w:ascii="Times New Roman" w:hAnsi="Times New Roman"/>
                <w:color w:val="000000"/>
                <w:sz w:val="20"/>
              </w:rPr>
            </w:pPr>
            <w:r>
              <w:rPr>
                <w:rFonts w:ascii="Times New Roman" w:hAnsi="Times New Roman"/>
                <w:color w:val="000000"/>
                <w:sz w:val="20"/>
              </w:rPr>
              <w:t>/s/ Alfred Bowie, Ph.D.</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45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2851" w:type="dxa"/>
            <w:tcBorders/>
            <w:tcMar>
              <w:top w:w="0" w:type="dxa"/>
              <w:left w:w="0" w:type="dxa"/>
              <w:bottom w:w="0" w:type="dxa"/>
              <w:right w:w="0" w:type="dxa"/>
            </w:tcMar>
            <w:vAlign w:val="center"/>
          </w:tcPr>
          <w:p>
            <w:pPr>
              <w:pStyle w:val="TableContents"/>
              <w:bidi w:val="0"/>
              <w:spacing w:before="14" w:after="187"/>
              <w:jc w:val="center"/>
              <w:rPr>
                <w:rFonts w:ascii="Times New Roman" w:hAnsi="Times New Roman"/>
                <w:sz w:val="20"/>
              </w:rPr>
            </w:pPr>
            <w:r>
              <w:rPr>
                <w:rFonts w:ascii="Times New Roman" w:hAnsi="Times New Roman"/>
                <w:color w:val="000000"/>
                <w:sz w:val="20"/>
              </w:rPr>
              <w:t>Alfred Bowie, Ph.D.</w:t>
              <w:br/>
            </w:r>
            <w:r>
              <w:rPr>
                <w:rFonts w:ascii="Times New Roman" w:hAnsi="Times New Roman"/>
                <w:i/>
                <w:color w:val="000000"/>
                <w:sz w:val="20"/>
              </w:rPr>
              <w:t>Chief Financial Officer</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Arial" w:hAnsi="Arial"/>
          <w:b/>
          <w:color w:val="000000"/>
          <w:sz w:val="24"/>
        </w:rPr>
      </w:pPr>
      <w:bookmarkStart w:id="2" w:name="eikn-ex99_1.htm"/>
      <w:bookmarkStart w:id="3" w:name="kseiknex99_1"/>
      <w:bookmarkEnd w:id="2"/>
      <w:bookmarkEnd w:id="3"/>
      <w:r>
        <w:rPr>
          <w:rFonts w:ascii="Arial" w:hAnsi="Arial"/>
          <w:b/>
          <w:color w:val="000000"/>
          <w:sz w:val="24"/>
        </w:rPr>
        <w:t>Exhibit 99.1</w:t>
      </w:r>
      <w:r>
        <w:br w:type="page"/>
      </w:r>
    </w:p>
    <w:p>
      <w:pPr>
        <w:pStyle w:val="Heading2"/>
        <w:bidi w:val="0"/>
        <w:jc w:val="center"/>
        <w:rPr>
          <w:rFonts w:ascii="Arial" w:hAnsi="Arial"/>
          <w:color w:val="000000"/>
          <w:sz w:val="24"/>
        </w:rPr>
      </w:pPr>
      <w:r>
        <w:rPr>
          <w:rFonts w:ascii="Arial" w:hAnsi="Arial"/>
          <w:color w:val="000000"/>
          <w:sz w:val="24"/>
        </w:rPr>
        <w:t>Eikon Therapeutics Reports Second Quarter 2026 Financial Results</w:t>
      </w:r>
    </w:p>
    <w:p>
      <w:pPr>
        <w:pStyle w:val="Heading2"/>
        <w:bidi w:val="0"/>
        <w:jc w:val="center"/>
        <w:rPr>
          <w:rFonts w:ascii="Arial" w:hAnsi="Arial"/>
          <w:color w:val="000000"/>
          <w:sz w:val="24"/>
        </w:rPr>
      </w:pPr>
      <w:r>
        <w:rPr>
          <w:rFonts w:ascii="Arial" w:hAnsi="Arial"/>
          <w:color w:val="000000"/>
          <w:sz w:val="24"/>
        </w:rPr>
        <w:t>and Provides Clinical Updates</w:t>
      </w:r>
    </w:p>
    <w:p>
      <w:pPr>
        <w:pStyle w:val="TextBody"/>
        <w:bidi w:val="0"/>
        <w:jc w:val="left"/>
        <w:rPr/>
      </w:pPr>
      <w:r>
        <w:rPr/>
        <w:t> </w:t>
      </w:r>
    </w:p>
    <w:p>
      <w:pPr>
        <w:pStyle w:val="TextBody"/>
        <w:bidi w:val="0"/>
        <w:spacing w:before="0" w:after="0"/>
        <w:ind w:left="360" w:right="0" w:hanging="0"/>
        <w:jc w:val="left"/>
        <w:rPr>
          <w:color w:val="000000"/>
        </w:rPr>
      </w:pPr>
      <w:r>
        <w:rPr>
          <w:color w:val="000000"/>
        </w:rPr>
        <w:t>•</w:t>
      </w:r>
    </w:p>
    <w:p>
      <w:pPr>
        <w:pStyle w:val="TextBody"/>
        <w:bidi w:val="0"/>
        <w:jc w:val="left"/>
        <w:rPr>
          <w:rFonts w:ascii="Arial" w:hAnsi="Arial"/>
          <w:i/>
          <w:color w:val="000000"/>
          <w:sz w:val="24"/>
        </w:rPr>
      </w:pPr>
      <w:r>
        <w:rPr>
          <w:rFonts w:ascii="Arial" w:hAnsi="Arial"/>
          <w:i/>
          <w:color w:val="000000"/>
          <w:sz w:val="24"/>
        </w:rPr>
        <w:t>Eikon announced seven abstracts accepted for presentation at the European Society for Medical Oncology (ESMO) Congress 2026 highlighting progress across Eikon’s oncology portfolio, including clinical updates for EIK1001 and EIK1003 and initial clinical findings for EIK1004 and EIK1005</w:t>
      </w:r>
    </w:p>
    <w:p>
      <w:pPr>
        <w:pStyle w:val="TextBody"/>
        <w:bidi w:val="0"/>
        <w:ind w:left="360" w:right="0" w:hanging="0"/>
        <w:jc w:val="left"/>
        <w:rPr/>
      </w:pPr>
      <w:r>
        <w:rPr/>
        <w:t> </w:t>
      </w:r>
    </w:p>
    <w:p>
      <w:pPr>
        <w:pStyle w:val="TextBody"/>
        <w:bidi w:val="0"/>
        <w:spacing w:before="0" w:after="0"/>
        <w:ind w:left="360" w:right="0" w:hanging="0"/>
        <w:jc w:val="left"/>
        <w:rPr>
          <w:color w:val="000000"/>
        </w:rPr>
      </w:pPr>
      <w:r>
        <w:rPr>
          <w:color w:val="000000"/>
        </w:rPr>
        <w:t>•</w:t>
      </w:r>
    </w:p>
    <w:p>
      <w:pPr>
        <w:pStyle w:val="TextBody"/>
        <w:bidi w:val="0"/>
        <w:jc w:val="left"/>
        <w:rPr>
          <w:rFonts w:ascii="Arial" w:hAnsi="Arial"/>
          <w:i/>
          <w:color w:val="000000"/>
          <w:sz w:val="24"/>
        </w:rPr>
      </w:pPr>
      <w:r>
        <w:rPr>
          <w:rFonts w:ascii="Arial" w:hAnsi="Arial"/>
          <w:i/>
          <w:color w:val="000000"/>
          <w:sz w:val="24"/>
        </w:rPr>
        <w:t>Presented data at the American Society for Clinical Oncology (ASCO) 2026 Annual Meeting demonstrating encouraging activity of EIK1001 combined with pembrolizumab and histology-appropriate chemotherapy for the front-line treatment of patients with advanced NSCLC in the TeLuRide-005 Phase 2 trial, and preliminary evidence that the PARP1-selective inhibitor EIK1003 could be safely combined with full-dose paclitaxel in second-line treatment of breast and ovarian cancers</w:t>
      </w:r>
    </w:p>
    <w:p>
      <w:pPr>
        <w:pStyle w:val="TextBody"/>
        <w:bidi w:val="0"/>
        <w:ind w:left="720" w:right="0" w:hanging="0"/>
        <w:jc w:val="left"/>
        <w:rPr/>
      </w:pPr>
      <w:r>
        <w:rPr/>
        <w:t> </w:t>
      </w:r>
    </w:p>
    <w:p>
      <w:pPr>
        <w:pStyle w:val="TextBody"/>
        <w:bidi w:val="0"/>
        <w:spacing w:before="0" w:after="0"/>
        <w:ind w:left="360" w:right="0" w:hanging="0"/>
        <w:jc w:val="left"/>
        <w:rPr>
          <w:color w:val="000000"/>
        </w:rPr>
      </w:pPr>
      <w:r>
        <w:rPr>
          <w:color w:val="000000"/>
        </w:rPr>
        <w:t>•</w:t>
      </w:r>
    </w:p>
    <w:p>
      <w:pPr>
        <w:pStyle w:val="TextBody"/>
        <w:bidi w:val="0"/>
        <w:jc w:val="left"/>
        <w:rPr>
          <w:rFonts w:ascii="Arial" w:hAnsi="Arial"/>
          <w:i/>
          <w:color w:val="000000"/>
          <w:sz w:val="24"/>
        </w:rPr>
      </w:pPr>
      <w:r>
        <w:rPr>
          <w:rFonts w:ascii="Arial" w:hAnsi="Arial"/>
          <w:i/>
          <w:color w:val="000000"/>
          <w:sz w:val="24"/>
        </w:rPr>
        <w:t>Progressed the TeLuRide-006 Phase 2/3 registrational trial of EIK1001 through a first interim analysis, including dose-optimization in first-line advanced melanoma</w:t>
      </w:r>
    </w:p>
    <w:p>
      <w:pPr>
        <w:pStyle w:val="TextBody"/>
        <w:bidi w:val="0"/>
        <w:jc w:val="left"/>
        <w:rPr/>
      </w:pPr>
      <w:r>
        <w:rPr/>
        <w:t> </w:t>
      </w:r>
    </w:p>
    <w:p>
      <w:pPr>
        <w:pStyle w:val="TextBody"/>
        <w:bidi w:val="0"/>
        <w:spacing w:before="0" w:after="0"/>
        <w:ind w:left="360" w:right="0" w:hanging="0"/>
        <w:jc w:val="left"/>
        <w:rPr>
          <w:color w:val="000000"/>
        </w:rPr>
      </w:pPr>
      <w:r>
        <w:rPr>
          <w:color w:val="000000"/>
        </w:rPr>
        <w:t>•</w:t>
      </w:r>
    </w:p>
    <w:p>
      <w:pPr>
        <w:pStyle w:val="TextBody"/>
        <w:bidi w:val="0"/>
        <w:jc w:val="left"/>
        <w:rPr>
          <w:rFonts w:ascii="Arial" w:hAnsi="Arial"/>
          <w:i/>
          <w:color w:val="000000"/>
          <w:sz w:val="24"/>
        </w:rPr>
      </w:pPr>
      <w:r>
        <w:rPr>
          <w:rFonts w:ascii="Arial" w:hAnsi="Arial"/>
          <w:i/>
          <w:color w:val="000000"/>
          <w:sz w:val="24"/>
        </w:rPr>
        <w:t>Appointed Ma. Fatima “Fama” Francisco to the Board of Directors, adding decades of global commercial experience</w:t>
      </w:r>
    </w:p>
    <w:p>
      <w:pPr>
        <w:pStyle w:val="TextBody"/>
        <w:bidi w:val="0"/>
        <w:ind w:left="360" w:right="0" w:hanging="0"/>
        <w:jc w:val="left"/>
        <w:rPr/>
      </w:pPr>
      <w:r>
        <w:rPr/>
        <w:t> </w:t>
      </w:r>
    </w:p>
    <w:p>
      <w:pPr>
        <w:pStyle w:val="TextBody"/>
        <w:bidi w:val="0"/>
        <w:spacing w:before="0" w:after="0"/>
        <w:ind w:left="360" w:right="0" w:hanging="0"/>
        <w:jc w:val="left"/>
        <w:rPr>
          <w:color w:val="000000"/>
        </w:rPr>
      </w:pPr>
      <w:r>
        <w:rPr>
          <w:color w:val="000000"/>
        </w:rPr>
        <w:t>•</w:t>
      </w:r>
    </w:p>
    <w:p>
      <w:pPr>
        <w:pStyle w:val="TextBody"/>
        <w:bidi w:val="0"/>
        <w:jc w:val="left"/>
        <w:rPr>
          <w:rFonts w:ascii="Arial" w:hAnsi="Arial"/>
          <w:i/>
          <w:color w:val="000000"/>
          <w:sz w:val="24"/>
        </w:rPr>
      </w:pPr>
      <w:r>
        <w:rPr>
          <w:rFonts w:ascii="Arial" w:hAnsi="Arial"/>
          <w:i/>
          <w:color w:val="000000"/>
          <w:sz w:val="24"/>
        </w:rPr>
        <w:t xml:space="preserve">Ended second quarter of 2026 with $531.2 million in cash, cash equivalents and marketable securities </w:t>
      </w:r>
    </w:p>
    <w:p>
      <w:pPr>
        <w:pStyle w:val="TextBody"/>
        <w:bidi w:val="0"/>
        <w:jc w:val="left"/>
        <w:rPr/>
      </w:pPr>
      <w:r>
        <w:rPr/>
        <w:t> </w:t>
      </w:r>
    </w:p>
    <w:p>
      <w:pPr>
        <w:pStyle w:val="TextBody"/>
        <w:bidi w:val="0"/>
        <w:jc w:val="left"/>
        <w:rPr>
          <w:rFonts w:ascii="Times New Roman" w:hAnsi="Times New Roman"/>
          <w:sz w:val="20"/>
        </w:rPr>
      </w:pPr>
      <w:r>
        <w:rPr>
          <w:rFonts w:ascii="Arial" w:hAnsi="Arial"/>
          <w:b/>
          <w:color w:val="000000"/>
          <w:sz w:val="24"/>
        </w:rPr>
        <w:t xml:space="preserve">MILLBRAE, Calif., August 13, 2026 -- </w:t>
      </w:r>
      <w:r>
        <w:rPr>
          <w:rFonts w:ascii="Arial" w:hAnsi="Arial"/>
          <w:color w:val="000000"/>
          <w:sz w:val="24"/>
        </w:rPr>
        <w:t>Eikon Therapeutics, Inc. (Nasdaq: EIKN) (“Eikon”), a late-stage clinical biopharmaceutical company dedicated to developing innovative medicines to address serious unmet medical needs, today reported second quarter 2026 financial results and provided updates on its programs.</w:t>
      </w:r>
    </w:p>
    <w:p>
      <w:pPr>
        <w:pStyle w:val="TextBody"/>
        <w:bidi w:val="0"/>
        <w:jc w:val="left"/>
        <w:rPr/>
      </w:pPr>
      <w:r>
        <w:rPr/>
        <w:t> </w:t>
      </w:r>
    </w:p>
    <w:p>
      <w:pPr>
        <w:pStyle w:val="TextBody"/>
        <w:bidi w:val="0"/>
        <w:jc w:val="left"/>
        <w:rPr>
          <w:color w:val="000000"/>
        </w:rPr>
      </w:pPr>
      <w:r>
        <w:rPr>
          <w:color w:val="000000"/>
        </w:rPr>
        <w:t>“</w:t>
      </w:r>
      <w:r>
        <w:rPr>
          <w:rFonts w:ascii="Arial" w:hAnsi="Arial"/>
          <w:color w:val="000000"/>
          <w:sz w:val="24"/>
        </w:rPr>
        <w:t>The second quarter saw meaningful acceleration of Eikon’s most important clinical programs, leading to acceptance of seven abstracts, related to all four of our current clinical candidates, for presentation at the upcoming ESMO conference in October in Madrid,” said Roger M. Perlmutter, M.D., Ph.D., Chief Executive Officer and Board Chair of Eikon Therapeutics. “These new results expand what we reported at the ASCO conference in June and advance our ability to address important unmet needs in cancer therapy. Moreover, our clinical progress reinforces the conclusion that Eikon’s unique research platform can reproducibly elucidate novel approaches towards the treatment of grievous illness.”</w:t>
      </w:r>
    </w:p>
    <w:p>
      <w:pPr>
        <w:pStyle w:val="TextBody"/>
        <w:bidi w:val="0"/>
        <w:jc w:val="left"/>
        <w:rPr/>
      </w:pPr>
      <w:r>
        <w:rPr/>
        <w:t> </w:t>
      </w:r>
    </w:p>
    <w:p>
      <w:pPr>
        <w:pStyle w:val="TextBody"/>
        <w:bidi w:val="0"/>
        <w:jc w:val="left"/>
        <w:rPr>
          <w:rFonts w:ascii="Arial" w:hAnsi="Arial"/>
          <w:b/>
          <w:color w:val="000000"/>
          <w:sz w:val="24"/>
        </w:rPr>
      </w:pPr>
      <w:r>
        <w:rPr>
          <w:rFonts w:ascii="Arial" w:hAnsi="Arial"/>
          <w:b/>
          <w:color w:val="000000"/>
          <w:sz w:val="24"/>
        </w:rPr>
        <w:t>Clinical Development Highlights</w:t>
      </w:r>
    </w:p>
    <w:p>
      <w:pPr>
        <w:pStyle w:val="TextBody"/>
        <w:bidi w:val="0"/>
        <w:jc w:val="left"/>
        <w:rPr/>
      </w:pPr>
      <w:r>
        <w:rPr/>
        <w:t> </w:t>
      </w:r>
    </w:p>
    <w:p>
      <w:pPr>
        <w:pStyle w:val="TextBody"/>
        <w:bidi w:val="0"/>
        <w:jc w:val="left"/>
        <w:rPr>
          <w:rFonts w:ascii="Arial" w:hAnsi="Arial"/>
          <w:b/>
          <w:color w:val="000000"/>
          <w:sz w:val="24"/>
        </w:rPr>
      </w:pPr>
      <w:r>
        <w:rPr>
          <w:rFonts w:ascii="Arial" w:hAnsi="Arial"/>
          <w:b/>
          <w:color w:val="000000"/>
          <w:sz w:val="24"/>
        </w:rPr>
        <w:t>EIK1001</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4"/>
        </w:rPr>
        <w:t>EIK1001 is a systemically administered TLR 7/8 dual-agonist designed to stimulate both innate and adaptive immune responses to malignancy. Eikon believes that its data</w:t>
      </w:r>
      <w:r>
        <w:rPr>
          <w:rFonts w:ascii="Times New Roman" w:hAnsi="Times New Roman"/>
          <w:color w:val="000000"/>
          <w:sz w:val="20"/>
        </w:rPr>
        <w:t xml:space="preserve"> </w:t>
      </w:r>
    </w:p>
    <w:p>
      <w:pPr>
        <w:pStyle w:val="HorizontalLine"/>
        <w:pBdr>
          <w:bottom w:val="double" w:sz="2" w:space="0" w:color="808080"/>
        </w:pBdr>
        <w:bidi w:val="0"/>
        <w:spacing w:before="0" w:after="283"/>
        <w:jc w:val="left"/>
        <w:rPr/>
      </w:pPr>
      <w:r>
        <w:rPr/>
      </w:r>
    </w:p>
    <w:p>
      <w:pPr>
        <w:pStyle w:val="TextBody"/>
        <w:bidi w:val="0"/>
        <w:ind w:left="0" w:right="0" w:hanging="0"/>
        <w:jc w:val="left"/>
        <w:rPr/>
      </w:pPr>
      <w:r>
        <w:rPr/>
        <w:t> </w:t>
      </w:r>
    </w:p>
    <w:p>
      <w:pPr>
        <w:pStyle w:val="TextBody"/>
        <w:bidi w:val="0"/>
        <w:jc w:val="left"/>
        <w:rPr>
          <w:rFonts w:ascii="Times New Roman" w:hAnsi="Times New Roman"/>
          <w:sz w:val="20"/>
        </w:rPr>
      </w:pPr>
      <w:r>
        <w:rPr>
          <w:rFonts w:ascii="Arial" w:hAnsi="Arial"/>
          <w:color w:val="000000"/>
          <w:sz w:val="24"/>
        </w:rPr>
        <w:t>generated to date show that intravenous administration of EIK1001 has been generally well-tolerated, activates readily measured systemic immune responses, and can be combined with current standard-of-care for the treatment of malignant disease.</w:t>
      </w:r>
      <w:r>
        <w:rPr>
          <w:rFonts w:ascii="Times New Roman" w:hAnsi="Times New Roman"/>
          <w:color w:val="000000"/>
          <w:sz w:val="20"/>
        </w:rPr>
        <w:t xml:space="preserve"> </w:t>
      </w:r>
    </w:p>
    <w:p>
      <w:pPr>
        <w:pStyle w:val="TextBody"/>
        <w:bidi w:val="0"/>
        <w:jc w:val="left"/>
        <w:rPr/>
      </w:pPr>
      <w:r>
        <w:rPr/>
        <w:t> </w:t>
      </w:r>
    </w:p>
    <w:p>
      <w:pPr>
        <w:pStyle w:val="TextBody"/>
        <w:bidi w:val="0"/>
        <w:spacing w:before="0" w:after="0"/>
        <w:ind w:left="360" w:right="0" w:hanging="0"/>
        <w:jc w:val="left"/>
        <w:rPr>
          <w:color w:val="000000"/>
        </w:rPr>
      </w:pPr>
      <w:r>
        <w:rPr>
          <w:color w:val="000000"/>
        </w:rPr>
        <w:t>•</w:t>
      </w:r>
    </w:p>
    <w:p>
      <w:pPr>
        <w:pStyle w:val="TextBody"/>
        <w:bidi w:val="0"/>
        <w:jc w:val="left"/>
        <w:rPr/>
      </w:pPr>
      <w:r>
        <w:rPr>
          <w:rFonts w:ascii="Arial" w:hAnsi="Arial"/>
          <w:color w:val="000000"/>
          <w:sz w:val="24"/>
        </w:rPr>
        <w:t>Eikon will present comprehensive updated data from TeLuRide-005 (</w:t>
      </w:r>
      <w:r>
        <w:rPr>
          <w:rFonts w:ascii="Arial" w:hAnsi="Arial"/>
          <w:sz w:val="24"/>
        </w:rPr>
        <w:t>NCT06246110</w:t>
      </w:r>
      <w:r>
        <w:rPr>
          <w:rFonts w:ascii="Arial" w:hAnsi="Arial"/>
          <w:color w:val="000000"/>
          <w:sz w:val="24"/>
        </w:rPr>
        <w:t xml:space="preserve">), an ongoing open-label Phase 2 trial evaluating the safety and tolerability of EIK1001 in combination with both pembrolizumab and histology-appropriate chemotherapy for the treatment of patients with non–small cell lung cancer (NSCLC), on Monday, October 26 at the ESMO Congress 2026 in Madrid, Spain. </w:t>
      </w:r>
    </w:p>
    <w:p>
      <w:pPr>
        <w:pStyle w:val="TextBody"/>
        <w:bidi w:val="0"/>
        <w:ind w:left="360" w:right="0" w:hanging="0"/>
        <w:jc w:val="left"/>
        <w:rPr/>
      </w:pPr>
      <w:r>
        <w:rPr/>
        <w:t> </w:t>
      </w:r>
    </w:p>
    <w:p>
      <w:pPr>
        <w:pStyle w:val="TextBody"/>
        <w:bidi w:val="0"/>
        <w:spacing w:before="0" w:after="0"/>
        <w:ind w:left="360" w:right="0" w:hanging="0"/>
        <w:jc w:val="left"/>
        <w:rPr>
          <w:color w:val="000000"/>
        </w:rPr>
      </w:pPr>
      <w:r>
        <w:rPr>
          <w:color w:val="000000"/>
        </w:rPr>
        <w:t>•</w:t>
      </w:r>
    </w:p>
    <w:p>
      <w:pPr>
        <w:pStyle w:val="TextBody"/>
        <w:bidi w:val="0"/>
        <w:jc w:val="left"/>
        <w:rPr>
          <w:rFonts w:ascii="Arial" w:hAnsi="Arial"/>
          <w:color w:val="000000"/>
          <w:sz w:val="24"/>
        </w:rPr>
      </w:pPr>
      <w:r>
        <w:rPr>
          <w:rFonts w:ascii="Arial" w:hAnsi="Arial"/>
          <w:color w:val="000000"/>
          <w:sz w:val="24"/>
        </w:rPr>
        <w:t>On August 11, 2026, Eikon reported that a first interim analysis of TeLuRide-006 (NCT06697301), an ongoing global Phase 2/3 registrational trial evaluating EIK1001 in combination with pembrolizumab in the first-line treatment of advanced melanoma, was completed by an independent Data Monitoring Committee (DMC). The DMC selected, per protocol, a single dosing regimen for expansion of the trial, and recommended that the study continue as planned.</w:t>
      </w:r>
    </w:p>
    <w:p>
      <w:pPr>
        <w:pStyle w:val="TextBody"/>
        <w:bidi w:val="0"/>
        <w:ind w:left="720" w:right="0" w:hanging="0"/>
        <w:jc w:val="left"/>
        <w:rPr/>
      </w:pPr>
      <w:r>
        <w:rPr/>
        <w:t> </w:t>
      </w:r>
    </w:p>
    <w:p>
      <w:pPr>
        <w:pStyle w:val="TextBody"/>
        <w:bidi w:val="0"/>
        <w:spacing w:before="0" w:after="0"/>
        <w:ind w:left="360" w:right="0" w:hanging="0"/>
        <w:jc w:val="left"/>
        <w:rPr>
          <w:color w:val="000000"/>
        </w:rPr>
      </w:pPr>
      <w:r>
        <w:rPr>
          <w:color w:val="000000"/>
        </w:rPr>
        <w:t>•</w:t>
      </w:r>
    </w:p>
    <w:p>
      <w:pPr>
        <w:pStyle w:val="TextBody"/>
        <w:bidi w:val="0"/>
        <w:jc w:val="left"/>
        <w:rPr/>
      </w:pPr>
      <w:r>
        <w:rPr>
          <w:rFonts w:ascii="Arial" w:hAnsi="Arial"/>
          <w:color w:val="000000"/>
          <w:sz w:val="24"/>
        </w:rPr>
        <w:t xml:space="preserve">On July 27, 2026, Eikon </w:t>
      </w:r>
      <w:r>
        <w:rPr>
          <w:rFonts w:ascii="Arial" w:hAnsi="Arial"/>
          <w:sz w:val="24"/>
        </w:rPr>
        <w:t>announced</w:t>
      </w:r>
      <w:r>
        <w:rPr>
          <w:color w:val="000000"/>
        </w:rPr>
        <w:t xml:space="preserve"> </w:t>
      </w:r>
      <w:r>
        <w:rPr>
          <w:rFonts w:ascii="Arial" w:hAnsi="Arial"/>
          <w:color w:val="000000"/>
          <w:sz w:val="24"/>
        </w:rPr>
        <w:t>dosing of the first patient in TeLuRide-008 (</w:t>
      </w:r>
      <w:r>
        <w:rPr>
          <w:rFonts w:ascii="Arial" w:hAnsi="Arial"/>
          <w:sz w:val="24"/>
        </w:rPr>
        <w:t>NCT07365319</w:t>
      </w:r>
      <w:r>
        <w:rPr>
          <w:rFonts w:ascii="Arial" w:hAnsi="Arial"/>
          <w:color w:val="000000"/>
          <w:sz w:val="24"/>
        </w:rPr>
        <w:t xml:space="preserve">), a Phase 2/3 registrational trial evaluating EIK1001 in combination with both pembrolizumab and histology-appropriate chemotherapy as first-line therapy for treatment-naive patients with stage 4 NSCLC. </w:t>
      </w:r>
    </w:p>
    <w:p>
      <w:pPr>
        <w:pStyle w:val="TextBody"/>
        <w:bidi w:val="0"/>
        <w:ind w:left="360" w:right="0" w:hanging="0"/>
        <w:jc w:val="left"/>
        <w:rPr/>
      </w:pPr>
      <w:r>
        <w:rPr/>
        <w:t> </w:t>
      </w:r>
    </w:p>
    <w:p>
      <w:pPr>
        <w:pStyle w:val="TextBody"/>
        <w:bidi w:val="0"/>
        <w:spacing w:before="0" w:after="0"/>
        <w:ind w:left="360" w:right="0" w:hanging="0"/>
        <w:jc w:val="left"/>
        <w:rPr>
          <w:color w:val="000000"/>
        </w:rPr>
      </w:pPr>
      <w:r>
        <w:rPr>
          <w:color w:val="000000"/>
        </w:rPr>
        <w:t>•</w:t>
      </w:r>
    </w:p>
    <w:p>
      <w:pPr>
        <w:pStyle w:val="TextBody"/>
        <w:bidi w:val="0"/>
        <w:jc w:val="left"/>
        <w:rPr/>
      </w:pPr>
      <w:r>
        <w:rPr>
          <w:rFonts w:ascii="Arial" w:hAnsi="Arial"/>
          <w:color w:val="000000"/>
          <w:sz w:val="24"/>
        </w:rPr>
        <w:t xml:space="preserve">On May 30, 2026, Eikon </w:t>
      </w:r>
      <w:r>
        <w:rPr>
          <w:rFonts w:ascii="Arial" w:hAnsi="Arial"/>
          <w:sz w:val="24"/>
        </w:rPr>
        <w:t>presented</w:t>
      </w:r>
      <w:r>
        <w:rPr>
          <w:color w:val="000000"/>
        </w:rPr>
        <w:t xml:space="preserve"> </w:t>
      </w:r>
      <w:r>
        <w:rPr>
          <w:rFonts w:ascii="Arial" w:hAnsi="Arial"/>
          <w:color w:val="000000"/>
          <w:sz w:val="24"/>
        </w:rPr>
        <w:t>updated data at the 2026 ASCO Annual Meeting from TeLuRide-005 (</w:t>
      </w:r>
      <w:r>
        <w:rPr>
          <w:rFonts w:ascii="Arial" w:hAnsi="Arial"/>
          <w:sz w:val="24"/>
        </w:rPr>
        <w:t>NCT06246110</w:t>
      </w:r>
      <w:r>
        <w:rPr>
          <w:rFonts w:ascii="Arial" w:hAnsi="Arial"/>
          <w:color w:val="000000"/>
          <w:sz w:val="24"/>
        </w:rPr>
        <w:t>), an ongoing open-label Phase 2 trial evaluating the safety and tolerability of EIK1001 in combination with both pembrolizumab and histology-appropriate chemotherapy for the treatment of patients with non-small cell lung cancer (NSCLC). Among other results, the presentation showed:</w:t>
      </w:r>
    </w:p>
    <w:p>
      <w:pPr>
        <w:pStyle w:val="TextBody"/>
        <w:bidi w:val="0"/>
        <w:ind w:left="360" w:right="0" w:hanging="0"/>
        <w:jc w:val="left"/>
        <w:rPr/>
      </w:pPr>
      <w:r>
        <w:rPr/>
        <w:t> </w:t>
      </w:r>
    </w:p>
    <w:p>
      <w:pPr>
        <w:pStyle w:val="TextBody"/>
        <w:bidi w:val="0"/>
        <w:ind w:left="720" w:right="0" w:hanging="0"/>
        <w:jc w:val="left"/>
        <w:rPr/>
      </w:pPr>
      <w:r>
        <w:rPr/>
        <w:t> </w:t>
      </w:r>
    </w:p>
    <w:p>
      <w:pPr>
        <w:pStyle w:val="TextBody"/>
        <w:bidi w:val="0"/>
        <w:spacing w:before="0" w:after="120"/>
        <w:ind w:left="1080" w:right="0" w:hanging="0"/>
        <w:jc w:val="left"/>
        <w:rPr>
          <w:rFonts w:ascii="Times New Roman" w:hAnsi="Times New Roman"/>
          <w:color w:val="000000"/>
          <w:sz w:val="24"/>
        </w:rPr>
      </w:pPr>
      <w:r>
        <w:rPr>
          <w:rFonts w:ascii="Times New Roman" w:hAnsi="Times New Roman"/>
          <w:color w:val="000000"/>
          <w:sz w:val="24"/>
        </w:rPr>
        <w:t>o</w:t>
      </w:r>
    </w:p>
    <w:p>
      <w:pPr>
        <w:pStyle w:val="TextBody"/>
        <w:bidi w:val="0"/>
        <w:spacing w:before="0" w:after="120"/>
        <w:jc w:val="left"/>
        <w:rPr>
          <w:rFonts w:ascii="Arial" w:hAnsi="Arial"/>
          <w:color w:val="000000"/>
          <w:sz w:val="24"/>
        </w:rPr>
      </w:pPr>
      <w:r>
        <w:rPr>
          <w:rFonts w:ascii="Arial" w:hAnsi="Arial"/>
          <w:color w:val="000000"/>
          <w:sz w:val="24"/>
        </w:rPr>
        <w:t>When combined with standard-of-care therapy, EIK1001 was observed to be associated with meaningful and consistent clinical activity across PD-(L)1 tumor proportion score subgroups</w:t>
      </w:r>
    </w:p>
    <w:p>
      <w:pPr>
        <w:pStyle w:val="TextBody"/>
        <w:bidi w:val="0"/>
        <w:spacing w:before="0" w:after="120"/>
        <w:ind w:left="1080" w:right="0" w:hanging="0"/>
        <w:jc w:val="left"/>
        <w:rPr>
          <w:rFonts w:ascii="Times New Roman" w:hAnsi="Times New Roman"/>
          <w:color w:val="000000"/>
          <w:sz w:val="24"/>
        </w:rPr>
      </w:pPr>
      <w:r>
        <w:rPr>
          <w:rFonts w:ascii="Times New Roman" w:hAnsi="Times New Roman"/>
          <w:color w:val="000000"/>
          <w:sz w:val="24"/>
        </w:rPr>
        <w:t>o</w:t>
      </w:r>
    </w:p>
    <w:p>
      <w:pPr>
        <w:pStyle w:val="TextBody"/>
        <w:bidi w:val="0"/>
        <w:spacing w:before="0" w:after="120"/>
        <w:jc w:val="left"/>
        <w:rPr>
          <w:rFonts w:ascii="Arial" w:hAnsi="Arial"/>
          <w:color w:val="000000"/>
          <w:sz w:val="24"/>
        </w:rPr>
      </w:pPr>
      <w:r>
        <w:rPr>
          <w:rFonts w:ascii="Arial" w:hAnsi="Arial"/>
          <w:color w:val="000000"/>
          <w:sz w:val="24"/>
        </w:rPr>
        <w:t>EIK1001 was observed to be generally well tolerated, permitting administration in the outpatient setting</w:t>
      </w:r>
    </w:p>
    <w:p>
      <w:pPr>
        <w:pStyle w:val="TextBody"/>
        <w:bidi w:val="0"/>
        <w:spacing w:before="0" w:after="120"/>
        <w:ind w:left="1080" w:right="0" w:hanging="0"/>
        <w:jc w:val="left"/>
        <w:rPr>
          <w:rFonts w:ascii="Times New Roman" w:hAnsi="Times New Roman"/>
          <w:color w:val="000000"/>
          <w:sz w:val="24"/>
        </w:rPr>
      </w:pPr>
      <w:r>
        <w:rPr>
          <w:rFonts w:ascii="Times New Roman" w:hAnsi="Times New Roman"/>
          <w:color w:val="000000"/>
          <w:sz w:val="24"/>
        </w:rPr>
        <w:t>o</w:t>
      </w:r>
    </w:p>
    <w:p>
      <w:pPr>
        <w:pStyle w:val="TextBody"/>
        <w:bidi w:val="0"/>
        <w:spacing w:before="0" w:after="120"/>
        <w:jc w:val="left"/>
        <w:rPr>
          <w:rFonts w:ascii="Arial" w:hAnsi="Arial"/>
          <w:color w:val="000000"/>
          <w:sz w:val="24"/>
        </w:rPr>
      </w:pPr>
      <w:r>
        <w:rPr>
          <w:rFonts w:ascii="Arial" w:hAnsi="Arial"/>
          <w:color w:val="000000"/>
          <w:sz w:val="24"/>
        </w:rPr>
        <w:t>Durable anti-tumor activity with median response duration of greater than 11 months for the non-squamous cohort was observed</w:t>
      </w:r>
    </w:p>
    <w:p>
      <w:pPr>
        <w:pStyle w:val="TextBody"/>
        <w:bidi w:val="0"/>
        <w:jc w:val="left"/>
        <w:rPr/>
      </w:pPr>
      <w:r>
        <w:rPr/>
        <w:t> </w:t>
      </w:r>
    </w:p>
    <w:p>
      <w:pPr>
        <w:pStyle w:val="TextBody"/>
        <w:bidi w:val="0"/>
        <w:jc w:val="left"/>
        <w:rPr>
          <w:rFonts w:ascii="Arial" w:hAnsi="Arial"/>
          <w:color w:val="000000"/>
          <w:sz w:val="24"/>
        </w:rPr>
      </w:pPr>
      <w:r>
        <w:rPr>
          <w:rFonts w:ascii="Arial" w:hAnsi="Arial"/>
          <w:color w:val="000000"/>
          <w:sz w:val="24"/>
        </w:rPr>
        <w:t>A more complete characterization of these durable responses will be presented at the ESMO Congress 2026 in October.</w:t>
      </w:r>
    </w:p>
    <w:p>
      <w:pPr>
        <w:pStyle w:val="TextBody"/>
        <w:bidi w:val="0"/>
        <w:jc w:val="left"/>
        <w:rPr/>
      </w:pPr>
      <w:r>
        <w:rPr/>
        <w:t> </w:t>
      </w:r>
    </w:p>
    <w:p>
      <w:pPr>
        <w:pStyle w:val="TextBody"/>
        <w:bidi w:val="0"/>
        <w:jc w:val="left"/>
        <w:rPr/>
      </w:pPr>
      <w:r>
        <w:rPr/>
        <w:t> </w:t>
      </w:r>
    </w:p>
    <w:p>
      <w:pPr>
        <w:pStyle w:val="TextBody"/>
        <w:bidi w:val="0"/>
        <w:jc w:val="left"/>
        <w:rPr>
          <w:rFonts w:ascii="Arial" w:hAnsi="Arial"/>
          <w:b/>
          <w:color w:val="000000"/>
          <w:sz w:val="24"/>
        </w:rPr>
      </w:pPr>
      <w:r>
        <w:rPr>
          <w:rFonts w:ascii="Arial" w:hAnsi="Arial"/>
          <w:b/>
          <w:color w:val="000000"/>
          <w:sz w:val="24"/>
        </w:rPr>
        <w:t>EIK1003 &amp; EIK1004</w:t>
      </w:r>
    </w:p>
    <w:p>
      <w:pPr>
        <w:pStyle w:val="HorizontalLine"/>
        <w:pBdr>
          <w:bottom w:val="double" w:sz="2" w:space="0" w:color="808080"/>
        </w:pBdr>
        <w:bidi w:val="0"/>
        <w:spacing w:before="0" w:after="283"/>
        <w:jc w:val="left"/>
        <w:rPr/>
      </w:pPr>
      <w:r>
        <w:rPr/>
      </w:r>
    </w:p>
    <w:p>
      <w:pPr>
        <w:pStyle w:val="TextBody"/>
        <w:bidi w:val="0"/>
        <w:ind w:left="0" w:right="0" w:hanging="0"/>
        <w:jc w:val="left"/>
        <w:rPr/>
      </w:pPr>
      <w:r>
        <w:rPr/>
        <w:t> </w:t>
      </w:r>
    </w:p>
    <w:p>
      <w:pPr>
        <w:pStyle w:val="TextBody"/>
        <w:bidi w:val="0"/>
        <w:jc w:val="left"/>
        <w:rPr/>
      </w:pPr>
      <w:r>
        <w:rPr/>
        <w:t> </w:t>
      </w:r>
    </w:p>
    <w:p>
      <w:pPr>
        <w:pStyle w:val="TextBody"/>
        <w:bidi w:val="0"/>
        <w:jc w:val="left"/>
        <w:rPr>
          <w:rFonts w:ascii="Arial" w:hAnsi="Arial"/>
          <w:color w:val="000000"/>
          <w:sz w:val="24"/>
        </w:rPr>
      </w:pPr>
      <w:r>
        <w:rPr>
          <w:rFonts w:ascii="Arial" w:hAnsi="Arial"/>
          <w:color w:val="000000"/>
          <w:sz w:val="24"/>
        </w:rPr>
        <w:t>EIK1003 and EIK1004 are highly selective PARP1 inhibitors designed to inhibit PARP1 while sparing PARP2, thereby promoting tumor regression by targeting the DNA damage response of cancer cells. EIK1004 was specifically engineered to penetrate the central nervous system (CNS), potentially expanding the utility of selective PARP1 inhibition to tumors involving the brain and CNS. Eikon believes the selectivity of EIK1003 and EIK1004 may enable the development of near full-dose combination regimens with chemotherapy, antibody-drug conjugates, or radionuclides, in earlier lines of therapy than currently possible with non-selective PARP inhibitors, and will potentially allow for more sustained therapeutic dosing during maintenance treatment.</w:t>
      </w:r>
    </w:p>
    <w:p>
      <w:pPr>
        <w:pStyle w:val="TextBody"/>
        <w:bidi w:val="0"/>
        <w:jc w:val="left"/>
        <w:rPr/>
      </w:pPr>
      <w:r>
        <w:rPr/>
        <w:t> </w:t>
      </w:r>
    </w:p>
    <w:p>
      <w:pPr>
        <w:pStyle w:val="TextBody"/>
        <w:bidi w:val="0"/>
        <w:spacing w:before="0" w:after="0"/>
        <w:ind w:left="360" w:right="0" w:hanging="0"/>
        <w:jc w:val="left"/>
        <w:rPr>
          <w:color w:val="000000"/>
        </w:rPr>
      </w:pPr>
      <w:r>
        <w:rPr>
          <w:color w:val="000000"/>
        </w:rPr>
        <w:t>•</w:t>
      </w:r>
    </w:p>
    <w:p>
      <w:pPr>
        <w:pStyle w:val="TextBody"/>
        <w:bidi w:val="0"/>
        <w:jc w:val="left"/>
        <w:rPr/>
      </w:pPr>
      <w:r>
        <w:rPr>
          <w:rFonts w:ascii="Arial" w:hAnsi="Arial"/>
          <w:color w:val="000000"/>
          <w:sz w:val="24"/>
        </w:rPr>
        <w:t>Eikon will present clinical data from its ongoing Phase 1/2 trial of EIK1003 on Friday, October 23 at the ESMO Congress 2026 in Madrid, Spain. Various trial components evaluate the safety and efficacy of EIK1003 as monotherapy or in combination with anti-cancer agents in participants with advanced solid tumors (</w:t>
      </w:r>
      <w:r>
        <w:rPr>
          <w:rFonts w:ascii="Arial" w:hAnsi="Arial"/>
          <w:sz w:val="24"/>
        </w:rPr>
        <w:t>NCT06253130</w:t>
      </w:r>
      <w:r>
        <w:rPr>
          <w:rFonts w:ascii="Arial" w:hAnsi="Arial"/>
          <w:color w:val="000000"/>
          <w:sz w:val="24"/>
        </w:rPr>
        <w:t>). The presentations will include updated data from Cohorts 1A and 1C, as well as initial data from Cohort 1B, which is specifically evaluating the safety and preliminary efficacy of EIK1003 in combination with abiraterone and prednisone for the treatment of patients with advanced prostate cancer.</w:t>
      </w:r>
    </w:p>
    <w:p>
      <w:pPr>
        <w:pStyle w:val="TextBody"/>
        <w:bidi w:val="0"/>
        <w:ind w:left="720" w:right="0" w:hanging="0"/>
        <w:jc w:val="left"/>
        <w:rPr/>
      </w:pPr>
      <w:r>
        <w:rPr/>
        <w:t> </w:t>
      </w:r>
    </w:p>
    <w:p>
      <w:pPr>
        <w:pStyle w:val="TextBody"/>
        <w:bidi w:val="0"/>
        <w:spacing w:before="0" w:after="0"/>
        <w:ind w:left="360" w:right="0" w:hanging="0"/>
        <w:jc w:val="left"/>
        <w:rPr>
          <w:color w:val="000000"/>
        </w:rPr>
      </w:pPr>
      <w:r>
        <w:rPr>
          <w:color w:val="000000"/>
        </w:rPr>
        <w:t>•</w:t>
      </w:r>
    </w:p>
    <w:p>
      <w:pPr>
        <w:pStyle w:val="TextBody"/>
        <w:bidi w:val="0"/>
        <w:jc w:val="left"/>
        <w:rPr>
          <w:rFonts w:ascii="Arial" w:hAnsi="Arial"/>
          <w:color w:val="000000"/>
          <w:sz w:val="24"/>
        </w:rPr>
      </w:pPr>
      <w:r>
        <w:rPr>
          <w:rFonts w:ascii="Arial" w:hAnsi="Arial"/>
          <w:color w:val="000000"/>
          <w:sz w:val="24"/>
        </w:rPr>
        <w:t>Eikon is also currently enrolling an additional Cohort 1D, evaluating EIK1003 in combination with paclitaxel and platinum-based chemotherapeutic regimens in patients with ovarian cancer. Site selection for Cohort 1D is completed and enrollment is ongoing.</w:t>
      </w:r>
    </w:p>
    <w:p>
      <w:pPr>
        <w:pStyle w:val="TextBody"/>
        <w:bidi w:val="0"/>
        <w:ind w:left="720" w:right="0" w:hanging="0"/>
        <w:jc w:val="left"/>
        <w:rPr/>
      </w:pPr>
      <w:r>
        <w:rPr/>
        <w:t> </w:t>
      </w:r>
    </w:p>
    <w:p>
      <w:pPr>
        <w:pStyle w:val="TextBody"/>
        <w:bidi w:val="0"/>
        <w:spacing w:before="0" w:after="0"/>
        <w:ind w:left="360" w:right="0" w:hanging="0"/>
        <w:jc w:val="left"/>
        <w:rPr>
          <w:color w:val="000000"/>
        </w:rPr>
      </w:pPr>
      <w:r>
        <w:rPr>
          <w:color w:val="000000"/>
        </w:rPr>
        <w:t>•</w:t>
      </w:r>
    </w:p>
    <w:p>
      <w:pPr>
        <w:pStyle w:val="TextBody"/>
        <w:bidi w:val="0"/>
        <w:jc w:val="left"/>
        <w:rPr>
          <w:rFonts w:ascii="Arial" w:hAnsi="Arial"/>
          <w:color w:val="000000"/>
          <w:sz w:val="24"/>
        </w:rPr>
      </w:pPr>
      <w:r>
        <w:rPr>
          <w:rFonts w:ascii="Arial" w:hAnsi="Arial"/>
          <w:color w:val="000000"/>
          <w:sz w:val="24"/>
        </w:rPr>
        <w:t>Eikon is currently evaluating two dose levels of EIK1003 monotherapy, 20 mg and 60 mg, to determine the optimal Phase 2 dose for EIK1003. Approximately 30 PARPi-naïve, HER2-negative breast cancer patients are expected to be enrolled at each dose level. Enrollment for the Part 2 dose optimization portion of the Phase 1/2 trial is ongoing.</w:t>
      </w:r>
    </w:p>
    <w:p>
      <w:pPr>
        <w:pStyle w:val="TextBody"/>
        <w:bidi w:val="0"/>
        <w:ind w:left="720" w:right="0" w:hanging="0"/>
        <w:jc w:val="left"/>
        <w:rPr/>
      </w:pPr>
      <w:r>
        <w:rPr/>
        <w:t> </w:t>
      </w:r>
    </w:p>
    <w:p>
      <w:pPr>
        <w:pStyle w:val="TextBody"/>
        <w:bidi w:val="0"/>
        <w:spacing w:before="0" w:after="0"/>
        <w:ind w:left="360" w:right="0" w:hanging="0"/>
        <w:jc w:val="left"/>
        <w:rPr>
          <w:color w:val="000000"/>
        </w:rPr>
      </w:pPr>
      <w:r>
        <w:rPr>
          <w:color w:val="000000"/>
        </w:rPr>
        <w:t>•</w:t>
      </w:r>
    </w:p>
    <w:p>
      <w:pPr>
        <w:pStyle w:val="TextBody"/>
        <w:bidi w:val="0"/>
        <w:jc w:val="left"/>
        <w:rPr/>
      </w:pPr>
      <w:r>
        <w:rPr>
          <w:rFonts w:ascii="Arial" w:hAnsi="Arial"/>
          <w:color w:val="000000"/>
          <w:sz w:val="24"/>
        </w:rPr>
        <w:t>On Friday, October 23 at the ESMO Congress 2026 in Madrid, Spain, Eikon will also present, for the first time, data from an ongoing Phase 1/2 trial evaluating the safety and efficacy of EIK1004, a selective PARP1 inhibitor designed to penetrate the CNS, for the treatment of patients with ovarian, breast, prostate, and pancreatic cancers (</w:t>
      </w:r>
      <w:r>
        <w:rPr>
          <w:rFonts w:ascii="Arial" w:hAnsi="Arial"/>
          <w:sz w:val="24"/>
        </w:rPr>
        <w:t>NCT06907043</w:t>
      </w:r>
      <w:r>
        <w:rPr>
          <w:rFonts w:ascii="Arial" w:hAnsi="Arial"/>
          <w:color w:val="000000"/>
          <w:sz w:val="24"/>
        </w:rPr>
        <w:t>). Eikon believes that these results, together with data from its studies of EIK1003, will provide mutually reinforcing insights into the behavior of highly-selective PARP1 inhibitors.</w:t>
      </w:r>
    </w:p>
    <w:p>
      <w:pPr>
        <w:pStyle w:val="TextBody"/>
        <w:bidi w:val="0"/>
        <w:jc w:val="left"/>
        <w:rPr/>
      </w:pPr>
      <w:r>
        <w:rPr/>
        <w:t> </w:t>
      </w:r>
    </w:p>
    <w:p>
      <w:pPr>
        <w:pStyle w:val="TextBody"/>
        <w:bidi w:val="0"/>
        <w:spacing w:before="0" w:after="0"/>
        <w:ind w:left="360" w:right="0" w:hanging="0"/>
        <w:jc w:val="left"/>
        <w:rPr>
          <w:color w:val="000000"/>
        </w:rPr>
      </w:pPr>
      <w:r>
        <w:rPr>
          <w:color w:val="000000"/>
        </w:rPr>
        <w:t>•</w:t>
      </w:r>
    </w:p>
    <w:p>
      <w:pPr>
        <w:pStyle w:val="TextBody"/>
        <w:bidi w:val="0"/>
        <w:spacing w:before="0" w:after="0"/>
        <w:jc w:val="left"/>
        <w:rPr/>
      </w:pPr>
      <w:r>
        <w:rPr>
          <w:rFonts w:ascii="Arial" w:hAnsi="Arial"/>
          <w:color w:val="000000"/>
          <w:sz w:val="24"/>
        </w:rPr>
        <w:t xml:space="preserve">On May 30, 2026, Eikon </w:t>
      </w:r>
      <w:r>
        <w:rPr>
          <w:rFonts w:ascii="Arial" w:hAnsi="Arial"/>
          <w:sz w:val="24"/>
        </w:rPr>
        <w:t>presented</w:t>
      </w:r>
      <w:r>
        <w:rPr>
          <w:color w:val="000000"/>
        </w:rPr>
        <w:t xml:space="preserve"> </w:t>
      </w:r>
      <w:r>
        <w:rPr>
          <w:rFonts w:ascii="Arial" w:hAnsi="Arial"/>
          <w:color w:val="000000"/>
          <w:sz w:val="24"/>
        </w:rPr>
        <w:t>data at the 2026 ASCO Annual Meeting from its ongoing Phase 1/2 trial evaluating the safety and efficacy of EIK1003 as monotherapy or in combination with anti-cancer agents in participants with advanced solid tumors (</w:t>
      </w:r>
      <w:r>
        <w:rPr>
          <w:rFonts w:ascii="Arial" w:hAnsi="Arial"/>
          <w:sz w:val="24"/>
        </w:rPr>
        <w:t>NCT06253130</w:t>
      </w:r>
      <w:r>
        <w:rPr>
          <w:rFonts w:ascii="Arial" w:hAnsi="Arial"/>
          <w:color w:val="000000"/>
          <w:sz w:val="24"/>
        </w:rPr>
        <w:t>), including:</w:t>
      </w:r>
    </w:p>
    <w:p>
      <w:pPr>
        <w:pStyle w:val="HorizontalLine"/>
        <w:pBdr>
          <w:bottom w:val="double" w:sz="2" w:space="0" w:color="808080"/>
        </w:pBdr>
        <w:bidi w:val="0"/>
        <w:spacing w:before="0" w:after="283"/>
        <w:jc w:val="left"/>
        <w:rPr/>
      </w:pPr>
      <w:r>
        <w:rPr/>
      </w:r>
    </w:p>
    <w:p>
      <w:pPr>
        <w:pStyle w:val="TextBody"/>
        <w:bidi w:val="0"/>
        <w:ind w:left="0" w:right="0" w:hanging="0"/>
        <w:jc w:val="left"/>
        <w:rPr/>
      </w:pPr>
      <w:r>
        <w:rPr/>
        <w:t> </w:t>
      </w:r>
    </w:p>
    <w:p>
      <w:pPr>
        <w:pStyle w:val="TextBody"/>
        <w:bidi w:val="0"/>
        <w:spacing w:before="0" w:after="0"/>
        <w:ind w:left="1080" w:right="0" w:hanging="0"/>
        <w:jc w:val="left"/>
        <w:rPr>
          <w:rFonts w:ascii="Times New Roman" w:hAnsi="Times New Roman"/>
          <w:color w:val="000000"/>
          <w:sz w:val="24"/>
        </w:rPr>
      </w:pPr>
      <w:r>
        <w:rPr>
          <w:rFonts w:ascii="Times New Roman" w:hAnsi="Times New Roman"/>
          <w:color w:val="000000"/>
          <w:sz w:val="24"/>
        </w:rPr>
        <w:t>o</w:t>
      </w:r>
    </w:p>
    <w:p>
      <w:pPr>
        <w:pStyle w:val="TextBody"/>
        <w:bidi w:val="0"/>
        <w:jc w:val="left"/>
        <w:rPr>
          <w:rFonts w:ascii="Arial" w:hAnsi="Arial"/>
          <w:color w:val="000000"/>
          <w:sz w:val="24"/>
        </w:rPr>
      </w:pPr>
      <w:r>
        <w:rPr>
          <w:rFonts w:ascii="Arial" w:hAnsi="Arial"/>
          <w:color w:val="000000"/>
          <w:sz w:val="24"/>
        </w:rPr>
        <w:t>Updated clinical safety, tolerability and preliminary efficacy data from Cohort 1A, evaluating EIK1003 as a monotherapy for the treatment of patients with ovarian, breast, prostate, and pancreatic cancers</w:t>
      </w:r>
    </w:p>
    <w:p>
      <w:pPr>
        <w:pStyle w:val="TextBody"/>
        <w:bidi w:val="0"/>
        <w:ind w:left="1440" w:right="0" w:hanging="0"/>
        <w:jc w:val="left"/>
        <w:rPr/>
      </w:pPr>
      <w:r>
        <w:rPr/>
        <w:t> </w:t>
      </w:r>
    </w:p>
    <w:p>
      <w:pPr>
        <w:pStyle w:val="TextBody"/>
        <w:bidi w:val="0"/>
        <w:spacing w:before="0" w:after="0"/>
        <w:ind w:left="1080" w:right="0" w:hanging="0"/>
        <w:jc w:val="left"/>
        <w:rPr>
          <w:rFonts w:ascii="Times New Roman" w:hAnsi="Times New Roman"/>
          <w:color w:val="000000"/>
          <w:sz w:val="24"/>
        </w:rPr>
      </w:pPr>
      <w:r>
        <w:rPr>
          <w:rFonts w:ascii="Times New Roman" w:hAnsi="Times New Roman"/>
          <w:color w:val="000000"/>
          <w:sz w:val="24"/>
        </w:rPr>
        <w:t>o</w:t>
      </w:r>
    </w:p>
    <w:p>
      <w:pPr>
        <w:pStyle w:val="TextBody"/>
        <w:bidi w:val="0"/>
        <w:jc w:val="left"/>
        <w:rPr>
          <w:rFonts w:ascii="Arial" w:hAnsi="Arial"/>
          <w:color w:val="000000"/>
          <w:sz w:val="24"/>
        </w:rPr>
      </w:pPr>
      <w:r>
        <w:rPr>
          <w:rFonts w:ascii="Arial" w:hAnsi="Arial"/>
          <w:color w:val="000000"/>
          <w:sz w:val="24"/>
        </w:rPr>
        <w:t>Initial clinical safety, tolerability and preliminary efficacy data from Cohort 1C, evaluating EIK1003 in combination with paclitaxel for the treatment of patients with platinum-resistant ovarian, or breast cancer patients who are either HER2-negative, ER-positive, and hormonal therapy-experienced, or ER-negative and chemotherapy-experienced.</w:t>
      </w:r>
    </w:p>
    <w:p>
      <w:pPr>
        <w:pStyle w:val="TextBody"/>
        <w:bidi w:val="0"/>
        <w:ind w:left="720" w:right="0" w:hanging="0"/>
        <w:jc w:val="left"/>
        <w:rPr/>
      </w:pPr>
      <w:r>
        <w:rPr/>
        <w:t> </w:t>
      </w:r>
    </w:p>
    <w:p>
      <w:pPr>
        <w:pStyle w:val="TextBody"/>
        <w:bidi w:val="0"/>
        <w:jc w:val="left"/>
        <w:rPr>
          <w:rFonts w:ascii="Arial" w:hAnsi="Arial"/>
          <w:b/>
          <w:color w:val="000000"/>
          <w:sz w:val="24"/>
        </w:rPr>
      </w:pPr>
      <w:r>
        <w:rPr>
          <w:rFonts w:ascii="Arial" w:hAnsi="Arial"/>
          <w:b/>
          <w:color w:val="000000"/>
          <w:sz w:val="24"/>
        </w:rPr>
        <w:t>EIK1005</w:t>
      </w:r>
    </w:p>
    <w:p>
      <w:pPr>
        <w:pStyle w:val="TextBody"/>
        <w:bidi w:val="0"/>
        <w:jc w:val="left"/>
        <w:rPr/>
      </w:pPr>
      <w:r>
        <w:rPr/>
        <w:t> </w:t>
      </w:r>
    </w:p>
    <w:p>
      <w:pPr>
        <w:pStyle w:val="TextBody"/>
        <w:bidi w:val="0"/>
        <w:jc w:val="left"/>
        <w:rPr>
          <w:rFonts w:ascii="Arial" w:hAnsi="Arial"/>
          <w:color w:val="000000"/>
          <w:sz w:val="24"/>
        </w:rPr>
      </w:pPr>
      <w:r>
        <w:rPr>
          <w:rFonts w:ascii="Arial" w:hAnsi="Arial"/>
          <w:color w:val="000000"/>
          <w:sz w:val="24"/>
        </w:rPr>
        <w:t>EIK1005 is a novel molecular entity, designed to inhibit the Werner (“WRN”) helicase, that emerged from original research conducted in Eikon’s laboratories. Eikon believes that EIK1005 has the potential to be an effective anti-tumor agent for microsatellite instability-high (MSI-high) tumors, by producing synthetic lethality in MSI-high cells that depend upon the WRN helicase salvage pathway to maintain genome integrity.</w:t>
      </w:r>
    </w:p>
    <w:p>
      <w:pPr>
        <w:pStyle w:val="TextBody"/>
        <w:bidi w:val="0"/>
        <w:jc w:val="left"/>
        <w:rPr/>
      </w:pPr>
      <w:r>
        <w:rPr/>
        <w:t> </w:t>
      </w:r>
    </w:p>
    <w:p>
      <w:pPr>
        <w:pStyle w:val="TextBody"/>
        <w:bidi w:val="0"/>
        <w:spacing w:before="0" w:after="0"/>
        <w:ind w:left="360" w:right="0" w:hanging="0"/>
        <w:jc w:val="left"/>
        <w:rPr>
          <w:color w:val="000000"/>
        </w:rPr>
      </w:pPr>
      <w:r>
        <w:rPr>
          <w:color w:val="000000"/>
        </w:rPr>
        <w:t>•</w:t>
      </w:r>
    </w:p>
    <w:p>
      <w:pPr>
        <w:pStyle w:val="TextBody"/>
        <w:bidi w:val="0"/>
        <w:jc w:val="left"/>
        <w:rPr/>
      </w:pPr>
      <w:r>
        <w:rPr>
          <w:rFonts w:ascii="Arial" w:hAnsi="Arial"/>
          <w:color w:val="000000"/>
          <w:sz w:val="24"/>
        </w:rPr>
        <w:t>Eikon is currently evaluating EIK1005 in a Phase 1/2 trial as monotherapy and in combination with pembrolizumab in participants with advanced solid tumors (</w:t>
      </w:r>
      <w:r>
        <w:rPr>
          <w:rFonts w:ascii="Arial" w:hAnsi="Arial"/>
          <w:sz w:val="24"/>
        </w:rPr>
        <w:t>NCT07262619</w:t>
      </w:r>
      <w:r>
        <w:rPr>
          <w:rFonts w:ascii="Arial" w:hAnsi="Arial"/>
          <w:color w:val="000000"/>
          <w:sz w:val="24"/>
        </w:rPr>
        <w:t xml:space="preserve">). The first patient in this Phase 1/2 dose-escalation trial was dosed in January 2026. </w:t>
      </w:r>
    </w:p>
    <w:p>
      <w:pPr>
        <w:pStyle w:val="TextBody"/>
        <w:bidi w:val="0"/>
        <w:ind w:left="720" w:right="0" w:hanging="0"/>
        <w:jc w:val="left"/>
        <w:rPr/>
      </w:pPr>
      <w:r>
        <w:rPr/>
        <w:t> </w:t>
      </w:r>
    </w:p>
    <w:p>
      <w:pPr>
        <w:pStyle w:val="TextBody"/>
        <w:bidi w:val="0"/>
        <w:spacing w:before="0" w:after="0"/>
        <w:ind w:left="360" w:right="0" w:hanging="0"/>
        <w:jc w:val="left"/>
        <w:rPr>
          <w:color w:val="000000"/>
        </w:rPr>
      </w:pPr>
      <w:r>
        <w:rPr>
          <w:color w:val="000000"/>
        </w:rPr>
        <w:t>•</w:t>
      </w:r>
    </w:p>
    <w:p>
      <w:pPr>
        <w:pStyle w:val="TextBody"/>
        <w:bidi w:val="0"/>
        <w:jc w:val="left"/>
        <w:rPr>
          <w:rFonts w:ascii="Arial" w:hAnsi="Arial"/>
          <w:color w:val="000000"/>
          <w:sz w:val="24"/>
        </w:rPr>
      </w:pPr>
      <w:r>
        <w:rPr>
          <w:rFonts w:ascii="Arial" w:hAnsi="Arial"/>
          <w:color w:val="000000"/>
          <w:sz w:val="24"/>
        </w:rPr>
        <w:t xml:space="preserve">Preliminary safety, tolerability and pharmacokinetic data for EIK1005 will be presented on Friday, October 23 at the ESMO Congress 2026 in Madrid, Spain. </w:t>
      </w:r>
    </w:p>
    <w:p>
      <w:pPr>
        <w:pStyle w:val="TextBody"/>
        <w:bidi w:val="0"/>
        <w:ind w:left="720" w:right="0" w:hanging="0"/>
        <w:jc w:val="left"/>
        <w:rPr/>
      </w:pPr>
      <w:r>
        <w:rPr/>
        <w:t> </w:t>
      </w:r>
    </w:p>
    <w:p>
      <w:pPr>
        <w:pStyle w:val="TextBody"/>
        <w:bidi w:val="0"/>
        <w:jc w:val="left"/>
        <w:rPr>
          <w:rFonts w:ascii="Arial" w:hAnsi="Arial"/>
          <w:b/>
          <w:color w:val="000000"/>
          <w:sz w:val="24"/>
        </w:rPr>
      </w:pPr>
      <w:r>
        <w:rPr>
          <w:rFonts w:ascii="Arial" w:hAnsi="Arial"/>
          <w:b/>
          <w:color w:val="000000"/>
          <w:sz w:val="24"/>
        </w:rPr>
        <w:t>EIK1006</w:t>
      </w:r>
    </w:p>
    <w:p>
      <w:pPr>
        <w:pStyle w:val="TextBody"/>
        <w:bidi w:val="0"/>
        <w:jc w:val="left"/>
        <w:rPr/>
      </w:pPr>
      <w:r>
        <w:rPr/>
        <w:t> </w:t>
      </w:r>
    </w:p>
    <w:p>
      <w:pPr>
        <w:pStyle w:val="TextBody"/>
        <w:bidi w:val="0"/>
        <w:jc w:val="left"/>
        <w:rPr>
          <w:rFonts w:ascii="Arial" w:hAnsi="Arial"/>
          <w:color w:val="000000"/>
          <w:sz w:val="24"/>
        </w:rPr>
      </w:pPr>
      <w:r>
        <w:rPr>
          <w:rFonts w:ascii="Arial" w:hAnsi="Arial"/>
          <w:color w:val="000000"/>
          <w:sz w:val="24"/>
        </w:rPr>
        <w:t>EIK1006 is another internally-derived clinical candidate and is being investigated as a potential next-generation androgen receptor (“AR”) antagonist with activity against multiple clinically important genetic variants of AR that emerge during treatment with conventional AR blockers. Preclinically, Eikon scientists have shown that EIK1006 binds to the ligand binding domain of AR and blocks its nuclear translocation, thereby inhibiting AR transcriptional activity and downstream signaling.</w:t>
      </w:r>
    </w:p>
    <w:p>
      <w:pPr>
        <w:pStyle w:val="TextBody"/>
        <w:bidi w:val="0"/>
        <w:jc w:val="left"/>
        <w:rPr/>
      </w:pPr>
      <w:r>
        <w:rPr/>
        <w:t> </w:t>
      </w:r>
    </w:p>
    <w:p>
      <w:pPr>
        <w:pStyle w:val="TextBody"/>
        <w:bidi w:val="0"/>
        <w:spacing w:before="0" w:after="0"/>
        <w:ind w:left="360" w:right="0" w:hanging="0"/>
        <w:jc w:val="left"/>
        <w:rPr>
          <w:color w:val="000000"/>
        </w:rPr>
      </w:pPr>
      <w:r>
        <w:rPr>
          <w:color w:val="000000"/>
        </w:rPr>
        <w:t>•</w:t>
      </w:r>
    </w:p>
    <w:p>
      <w:pPr>
        <w:pStyle w:val="TextBody"/>
        <w:bidi w:val="0"/>
        <w:jc w:val="left"/>
        <w:rPr>
          <w:rFonts w:ascii="Arial" w:hAnsi="Arial"/>
          <w:color w:val="000000"/>
          <w:sz w:val="24"/>
        </w:rPr>
      </w:pPr>
      <w:r>
        <w:rPr>
          <w:rFonts w:ascii="Arial" w:hAnsi="Arial"/>
          <w:color w:val="000000"/>
          <w:sz w:val="24"/>
        </w:rPr>
        <w:t>Eikon expects to submit an investigational new drug application (IND) for EIK1006 by the end of 2026.</w:t>
      </w:r>
    </w:p>
    <w:p>
      <w:pPr>
        <w:pStyle w:val="TextBody"/>
        <w:bidi w:val="0"/>
        <w:jc w:val="left"/>
        <w:rPr/>
      </w:pPr>
      <w:r>
        <w:rPr/>
        <w:t> </w:t>
      </w:r>
    </w:p>
    <w:p>
      <w:pPr>
        <w:pStyle w:val="TextBody"/>
        <w:bidi w:val="0"/>
        <w:jc w:val="left"/>
        <w:rPr>
          <w:rFonts w:ascii="Arial" w:hAnsi="Arial"/>
          <w:b/>
          <w:color w:val="000000"/>
          <w:sz w:val="24"/>
        </w:rPr>
      </w:pPr>
      <w:r>
        <w:rPr>
          <w:rFonts w:ascii="Arial" w:hAnsi="Arial"/>
          <w:b/>
          <w:color w:val="000000"/>
          <w:sz w:val="24"/>
        </w:rPr>
        <w:t>Key Upcoming Milestones</w:t>
      </w:r>
    </w:p>
    <w:p>
      <w:pPr>
        <w:pStyle w:val="TextBody"/>
        <w:bidi w:val="0"/>
        <w:jc w:val="left"/>
        <w:rPr/>
      </w:pPr>
      <w:r>
        <w:rPr/>
        <w:t> </w:t>
      </w:r>
    </w:p>
    <w:p>
      <w:pPr>
        <w:pStyle w:val="TextBody"/>
        <w:bidi w:val="0"/>
        <w:spacing w:before="0" w:after="120"/>
        <w:ind w:left="360" w:right="0" w:hanging="0"/>
        <w:jc w:val="left"/>
        <w:rPr>
          <w:color w:val="000000"/>
        </w:rPr>
      </w:pPr>
      <w:r>
        <w:rPr>
          <w:color w:val="000000"/>
        </w:rPr>
        <w:t>•</w:t>
      </w:r>
    </w:p>
    <w:p>
      <w:pPr>
        <w:pStyle w:val="TextBody"/>
        <w:bidi w:val="0"/>
        <w:spacing w:before="0" w:after="120"/>
        <w:jc w:val="left"/>
        <w:rPr/>
      </w:pPr>
      <w:r>
        <w:rPr>
          <w:rFonts w:ascii="Arial" w:hAnsi="Arial"/>
          <w:b/>
          <w:color w:val="000000"/>
          <w:sz w:val="24"/>
        </w:rPr>
        <w:t>EIK1001:</w:t>
      </w:r>
      <w:r>
        <w:rPr>
          <w:color w:val="000000"/>
        </w:rPr>
        <w:t xml:space="preserve"> </w:t>
      </w:r>
      <w:r>
        <w:rPr>
          <w:rFonts w:ascii="Arial" w:hAnsi="Arial"/>
          <w:color w:val="000000"/>
          <w:sz w:val="24"/>
        </w:rPr>
        <w:t>Presenting full combination data from the TeLuRide-005 trial in NSCLC on Monday, October 26 at ESMO.</w:t>
      </w:r>
    </w:p>
    <w:p>
      <w:pPr>
        <w:pStyle w:val="TextBody"/>
        <w:bidi w:val="0"/>
        <w:spacing w:before="0" w:after="120"/>
        <w:ind w:left="360" w:right="0" w:hanging="0"/>
        <w:jc w:val="left"/>
        <w:rPr>
          <w:color w:val="000000"/>
        </w:rPr>
      </w:pPr>
      <w:r>
        <w:rPr>
          <w:color w:val="000000"/>
        </w:rPr>
        <w:t>•</w:t>
      </w:r>
    </w:p>
    <w:p>
      <w:pPr>
        <w:pStyle w:val="TextBody"/>
        <w:bidi w:val="0"/>
        <w:spacing w:before="0" w:after="120"/>
        <w:jc w:val="left"/>
        <w:rPr/>
      </w:pPr>
      <w:r>
        <w:rPr>
          <w:rFonts w:ascii="Arial" w:hAnsi="Arial"/>
          <w:b/>
          <w:color w:val="000000"/>
          <w:sz w:val="24"/>
        </w:rPr>
        <w:t>EIK1003:</w:t>
      </w:r>
      <w:r>
        <w:rPr>
          <w:color w:val="000000"/>
        </w:rPr>
        <w:t xml:space="preserve"> </w:t>
      </w:r>
      <w:r>
        <w:rPr>
          <w:rFonts w:ascii="Arial" w:hAnsi="Arial"/>
          <w:color w:val="000000"/>
          <w:sz w:val="24"/>
        </w:rPr>
        <w:t>Presenting updated Phase 1/2 monotherapy and combination data in patients with advanced solid tumors across Cohorts 1A, 1B and 1C on Friday, October 23 at the ESMO Congress 2026.</w:t>
      </w:r>
    </w:p>
    <w:p>
      <w:pPr>
        <w:pStyle w:val="HorizontalLine"/>
        <w:pBdr>
          <w:bottom w:val="double" w:sz="2" w:space="0" w:color="808080"/>
        </w:pBdr>
        <w:bidi w:val="0"/>
        <w:spacing w:before="0" w:after="283"/>
        <w:jc w:val="left"/>
        <w:rPr/>
      </w:pPr>
      <w:r>
        <w:rPr/>
      </w:r>
    </w:p>
    <w:p>
      <w:pPr>
        <w:pStyle w:val="TextBody"/>
        <w:bidi w:val="0"/>
        <w:ind w:left="0" w:right="0" w:hanging="0"/>
        <w:jc w:val="left"/>
        <w:rPr/>
      </w:pPr>
      <w:r>
        <w:rPr/>
        <w:t> </w:t>
      </w:r>
    </w:p>
    <w:p>
      <w:pPr>
        <w:pStyle w:val="TextBody"/>
        <w:bidi w:val="0"/>
        <w:spacing w:before="0" w:after="120"/>
        <w:ind w:left="360" w:right="0" w:hanging="0"/>
        <w:jc w:val="left"/>
        <w:rPr>
          <w:color w:val="000000"/>
        </w:rPr>
      </w:pPr>
      <w:r>
        <w:rPr>
          <w:color w:val="000000"/>
        </w:rPr>
        <w:t>•</w:t>
      </w:r>
    </w:p>
    <w:p>
      <w:pPr>
        <w:pStyle w:val="TextBody"/>
        <w:bidi w:val="0"/>
        <w:spacing w:before="0" w:after="120"/>
        <w:jc w:val="left"/>
        <w:rPr/>
      </w:pPr>
      <w:r>
        <w:rPr>
          <w:rFonts w:ascii="Arial" w:hAnsi="Arial"/>
          <w:b/>
          <w:color w:val="000000"/>
          <w:sz w:val="24"/>
        </w:rPr>
        <w:t>EIK1004:</w:t>
      </w:r>
      <w:r>
        <w:rPr>
          <w:color w:val="000000"/>
        </w:rPr>
        <w:t xml:space="preserve"> </w:t>
      </w:r>
      <w:r>
        <w:rPr>
          <w:rFonts w:ascii="Arial" w:hAnsi="Arial"/>
          <w:color w:val="000000"/>
          <w:sz w:val="24"/>
        </w:rPr>
        <w:t>Presenting initial Phase 1/2 data in patients with advanced solid tumors on Friday, October 23 at ESMO.</w:t>
      </w:r>
    </w:p>
    <w:p>
      <w:pPr>
        <w:pStyle w:val="TextBody"/>
        <w:bidi w:val="0"/>
        <w:spacing w:before="0" w:after="120"/>
        <w:ind w:left="360" w:right="0" w:hanging="0"/>
        <w:jc w:val="left"/>
        <w:rPr>
          <w:color w:val="000000"/>
        </w:rPr>
      </w:pPr>
      <w:r>
        <w:rPr>
          <w:color w:val="000000"/>
        </w:rPr>
        <w:t>•</w:t>
      </w:r>
    </w:p>
    <w:p>
      <w:pPr>
        <w:pStyle w:val="TextBody"/>
        <w:bidi w:val="0"/>
        <w:spacing w:before="0" w:after="120"/>
        <w:jc w:val="left"/>
        <w:rPr/>
      </w:pPr>
      <w:r>
        <w:rPr>
          <w:rFonts w:ascii="Arial" w:hAnsi="Arial"/>
          <w:b/>
          <w:color w:val="000000"/>
          <w:sz w:val="24"/>
        </w:rPr>
        <w:t>EIK1005:</w:t>
      </w:r>
      <w:r>
        <w:rPr>
          <w:color w:val="000000"/>
        </w:rPr>
        <w:t xml:space="preserve"> </w:t>
      </w:r>
      <w:r>
        <w:rPr>
          <w:rFonts w:ascii="Arial" w:hAnsi="Arial"/>
          <w:color w:val="000000"/>
          <w:sz w:val="24"/>
        </w:rPr>
        <w:t>Presenting initial Phase 1/2 data in patients with advanced solid tumors on Friday, October 23 at the ESMO Congress 2026.</w:t>
      </w:r>
    </w:p>
    <w:p>
      <w:pPr>
        <w:pStyle w:val="TextBody"/>
        <w:bidi w:val="0"/>
        <w:spacing w:before="0" w:after="120"/>
        <w:ind w:left="360" w:right="0" w:hanging="0"/>
        <w:jc w:val="left"/>
        <w:rPr>
          <w:color w:val="000000"/>
        </w:rPr>
      </w:pPr>
      <w:r>
        <w:rPr>
          <w:color w:val="000000"/>
        </w:rPr>
        <w:t>•</w:t>
      </w:r>
    </w:p>
    <w:p>
      <w:pPr>
        <w:pStyle w:val="TextBody"/>
        <w:bidi w:val="0"/>
        <w:spacing w:before="0" w:after="120"/>
        <w:jc w:val="left"/>
        <w:rPr/>
      </w:pPr>
      <w:r>
        <w:rPr>
          <w:rFonts w:ascii="Arial" w:hAnsi="Arial"/>
          <w:b/>
          <w:color w:val="000000"/>
          <w:sz w:val="24"/>
        </w:rPr>
        <w:t>EIK1006:</w:t>
      </w:r>
      <w:r>
        <w:rPr>
          <w:color w:val="000000"/>
        </w:rPr>
        <w:t xml:space="preserve"> </w:t>
      </w:r>
      <w:r>
        <w:rPr>
          <w:rFonts w:ascii="Arial" w:hAnsi="Arial"/>
          <w:color w:val="000000"/>
          <w:sz w:val="24"/>
        </w:rPr>
        <w:t>Expects to submit an IND by the end of 2026.</w:t>
      </w:r>
    </w:p>
    <w:p>
      <w:pPr>
        <w:pStyle w:val="TextBody"/>
        <w:bidi w:val="0"/>
        <w:jc w:val="left"/>
        <w:rPr/>
      </w:pPr>
      <w:r>
        <w:rPr/>
        <w:t> </w:t>
      </w:r>
    </w:p>
    <w:p>
      <w:pPr>
        <w:pStyle w:val="TextBody"/>
        <w:bidi w:val="0"/>
        <w:jc w:val="left"/>
        <w:rPr>
          <w:rFonts w:ascii="Arial" w:hAnsi="Arial"/>
          <w:b/>
          <w:color w:val="000000"/>
          <w:sz w:val="24"/>
        </w:rPr>
      </w:pPr>
      <w:r>
        <w:rPr>
          <w:rFonts w:ascii="Arial" w:hAnsi="Arial"/>
          <w:b/>
          <w:color w:val="000000"/>
          <w:sz w:val="24"/>
        </w:rPr>
        <w:t>Second Quarter 2026 Corporate Highlights</w:t>
      </w:r>
    </w:p>
    <w:p>
      <w:pPr>
        <w:pStyle w:val="TextBody"/>
        <w:bidi w:val="0"/>
        <w:jc w:val="left"/>
        <w:rPr/>
      </w:pPr>
      <w:r>
        <w:rPr/>
        <w:t> </w:t>
      </w:r>
    </w:p>
    <w:p>
      <w:pPr>
        <w:pStyle w:val="TextBody"/>
        <w:bidi w:val="0"/>
        <w:jc w:val="left"/>
        <w:rPr>
          <w:rFonts w:ascii="Arial" w:hAnsi="Arial"/>
          <w:b/>
          <w:color w:val="000000"/>
          <w:sz w:val="24"/>
        </w:rPr>
      </w:pPr>
      <w:r>
        <w:rPr>
          <w:rFonts w:ascii="Arial" w:hAnsi="Arial"/>
          <w:b/>
          <w:color w:val="000000"/>
          <w:sz w:val="24"/>
        </w:rPr>
        <w:t>Appointment of Ma. Fatima D. Francisco to Board of Directors</w:t>
      </w:r>
    </w:p>
    <w:p>
      <w:pPr>
        <w:pStyle w:val="TextBody"/>
        <w:bidi w:val="0"/>
        <w:jc w:val="left"/>
        <w:rPr/>
      </w:pPr>
      <w:r>
        <w:rPr/>
        <w:t> </w:t>
      </w:r>
    </w:p>
    <w:p>
      <w:pPr>
        <w:pStyle w:val="TextBody"/>
        <w:bidi w:val="0"/>
        <w:jc w:val="left"/>
        <w:rPr>
          <w:rFonts w:ascii="Arial" w:hAnsi="Arial"/>
          <w:color w:val="000000"/>
          <w:sz w:val="24"/>
        </w:rPr>
      </w:pPr>
      <w:r>
        <w:rPr>
          <w:rFonts w:ascii="Arial" w:hAnsi="Arial"/>
          <w:color w:val="000000"/>
          <w:sz w:val="24"/>
        </w:rPr>
        <w:t>Eikon appointed Ma. Fatima (“Fama”) D. Francisco as an independent director to its Board of Directors, where Ms. Francisco will also serve on the Board’s Compensation Committee.</w:t>
      </w:r>
    </w:p>
    <w:p>
      <w:pPr>
        <w:pStyle w:val="TextBody"/>
        <w:bidi w:val="0"/>
        <w:jc w:val="left"/>
        <w:rPr/>
      </w:pPr>
      <w:r>
        <w:rPr/>
        <w:t> </w:t>
      </w:r>
    </w:p>
    <w:p>
      <w:pPr>
        <w:pStyle w:val="TextBody"/>
        <w:bidi w:val="0"/>
        <w:jc w:val="left"/>
        <w:rPr>
          <w:rFonts w:ascii="Arial" w:hAnsi="Arial"/>
          <w:color w:val="000000"/>
          <w:sz w:val="24"/>
        </w:rPr>
      </w:pPr>
      <w:r>
        <w:rPr>
          <w:rFonts w:ascii="Arial" w:hAnsi="Arial"/>
          <w:color w:val="000000"/>
          <w:sz w:val="24"/>
        </w:rPr>
        <w:t>Ms. Francisco most recently served as Chief Executive Officer, Baby, Feminine and Family Care at The Procter &amp; Gamble Company, where she led one of the company's largest global business units. During her more than 35-year career at Procter &amp; Gamble, she has held numerous leadership positions across marketing, innovation, commercial operations, and general management. She also serves on the Board of Directors of HP Inc. and Nestlé S.A., and previously served on the Board of Directors of Organon &amp; Co.</w:t>
      </w:r>
    </w:p>
    <w:p>
      <w:pPr>
        <w:pStyle w:val="TextBody"/>
        <w:bidi w:val="0"/>
        <w:jc w:val="left"/>
        <w:rPr/>
      </w:pPr>
      <w:r>
        <w:rPr/>
        <w:t> </w:t>
      </w:r>
    </w:p>
    <w:p>
      <w:pPr>
        <w:pStyle w:val="TextBody"/>
        <w:bidi w:val="0"/>
        <w:jc w:val="left"/>
        <w:rPr>
          <w:rFonts w:ascii="Times New Roman" w:hAnsi="Times New Roman"/>
          <w:sz w:val="20"/>
        </w:rPr>
      </w:pPr>
      <w:r>
        <w:rPr>
          <w:rFonts w:ascii="Arial" w:hAnsi="Arial"/>
          <w:b/>
          <w:color w:val="000000"/>
          <w:sz w:val="24"/>
        </w:rPr>
        <w:t>Second Quarter 2026</w:t>
      </w:r>
      <w:r>
        <w:rPr>
          <w:rFonts w:ascii="Times New Roman" w:hAnsi="Times New Roman"/>
          <w:color w:val="000000"/>
          <w:sz w:val="20"/>
        </w:rPr>
        <w:t xml:space="preserve"> </w:t>
      </w:r>
      <w:r>
        <w:rPr>
          <w:rFonts w:ascii="Arial" w:hAnsi="Arial"/>
          <w:b/>
          <w:color w:val="000000"/>
          <w:sz w:val="24"/>
        </w:rPr>
        <w:t>Financial Results</w:t>
      </w:r>
    </w:p>
    <w:p>
      <w:pPr>
        <w:pStyle w:val="TextBody"/>
        <w:bidi w:val="0"/>
        <w:jc w:val="left"/>
        <w:rPr/>
      </w:pPr>
      <w:r>
        <w:rPr/>
        <w:t> </w:t>
      </w:r>
    </w:p>
    <w:p>
      <w:pPr>
        <w:pStyle w:val="TextBody"/>
        <w:bidi w:val="0"/>
        <w:jc w:val="left"/>
        <w:rPr>
          <w:rFonts w:ascii="Times New Roman" w:hAnsi="Times New Roman"/>
          <w:sz w:val="20"/>
        </w:rPr>
      </w:pPr>
      <w:r>
        <w:rPr>
          <w:rFonts w:ascii="Arial" w:hAnsi="Arial"/>
          <w:b/>
          <w:color w:val="000000"/>
          <w:sz w:val="24"/>
        </w:rPr>
        <w:t>Cash Position:</w:t>
      </w:r>
      <w:r>
        <w:rPr>
          <w:rFonts w:ascii="Times New Roman" w:hAnsi="Times New Roman"/>
          <w:color w:val="000000"/>
          <w:sz w:val="20"/>
        </w:rPr>
        <w:t xml:space="preserve"> </w:t>
      </w:r>
      <w:r>
        <w:rPr>
          <w:rFonts w:ascii="Arial" w:hAnsi="Arial"/>
          <w:color w:val="000000"/>
          <w:sz w:val="24"/>
        </w:rPr>
        <w:t>As of June 30, 2026, Eikon had cash, cash equivalents, and marketable securities of $531.2 million. Eikon expects its current cash, cash equivalents, and marketable securities to fund operations into the second half of 2027.</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Arial" w:hAnsi="Arial"/>
          <w:b/>
          <w:color w:val="000000"/>
          <w:sz w:val="24"/>
        </w:rPr>
        <w:t>Research and Development (“R&amp;D”) Expenses:</w:t>
      </w:r>
      <w:r>
        <w:rPr>
          <w:rFonts w:ascii="Times New Roman" w:hAnsi="Times New Roman"/>
          <w:color w:val="000000"/>
          <w:sz w:val="20"/>
        </w:rPr>
        <w:t xml:space="preserve"> </w:t>
      </w:r>
      <w:r>
        <w:rPr>
          <w:rFonts w:ascii="Arial" w:hAnsi="Arial"/>
          <w:color w:val="000000"/>
          <w:sz w:val="24"/>
        </w:rPr>
        <w:t>R&amp;D expenses were $75.5 million for the three months ended June 30, 2026, compared to $69.2 million for the three months ended June 30, 2025, an increase of $6.3 million, or 9%. Direct research and development expenses increased by $12.8 million as we advanced our clinical trial activity, and compensation costs increased by $1.7 million. These increases were partially offset by restructuring expenses and milestone payments in the prior year period and by lower occupancy costs.</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Arial" w:hAnsi="Arial"/>
          <w:b/>
          <w:color w:val="000000"/>
          <w:sz w:val="24"/>
        </w:rPr>
        <w:t>General and Administrative (“G&amp;A”) Expenses:</w:t>
      </w:r>
      <w:r>
        <w:rPr>
          <w:rFonts w:ascii="Times New Roman" w:hAnsi="Times New Roman"/>
          <w:color w:val="000000"/>
          <w:sz w:val="20"/>
        </w:rPr>
        <w:t xml:space="preserve"> </w:t>
      </w:r>
      <w:r>
        <w:rPr>
          <w:rFonts w:ascii="Arial" w:hAnsi="Arial"/>
          <w:color w:val="000000"/>
          <w:sz w:val="24"/>
        </w:rPr>
        <w:t>G&amp;A expenses were $17.9 million for the three months ended June 30, 2026, compared to $40.5 million for the three months ended June 30, 2025, a decrease of $22.5 million, or 56%. The decrease was primarily due to the impairment in the year-ago period of $10.7 million of property and equipment and $10.3 million of operating lease right-of-use assets relating to properties in Hayward, California that Eikon vacated in April 2025 when the Company moved into its current corporate headquarters in Millbrae, California.</w:t>
      </w:r>
    </w:p>
    <w:p>
      <w:pPr>
        <w:pStyle w:val="TextBody"/>
        <w:bidi w:val="0"/>
        <w:jc w:val="left"/>
        <w:rPr>
          <w:rFonts w:ascii="Times New Roman" w:hAnsi="Times New Roman"/>
          <w:sz w:val="20"/>
        </w:rPr>
      </w:pPr>
      <w:r>
        <w:rPr>
          <w:rFonts w:ascii="Arial" w:hAnsi="Arial"/>
          <w:b/>
          <w:color w:val="000000"/>
          <w:sz w:val="24"/>
        </w:rPr>
        <w:t>Net Loss</w:t>
      </w:r>
      <w:r>
        <w:rPr>
          <w:rFonts w:ascii="Arial" w:hAnsi="Arial"/>
          <w:color w:val="000000"/>
          <w:sz w:val="24"/>
        </w:rPr>
        <w:t>: Net loss attributable to common stockholders was $88.4 million for the second quarter of 2026, compared to $105.2 million for the prior-year period.</w:t>
      </w:r>
      <w:r>
        <w:rPr>
          <w:rFonts w:ascii="Times New Roman" w:hAnsi="Times New Roman"/>
          <w:color w:val="000000"/>
          <w:sz w:val="20"/>
        </w:rPr>
        <w:t xml:space="preserve"> </w:t>
      </w:r>
    </w:p>
    <w:p>
      <w:pPr>
        <w:pStyle w:val="TextBody"/>
        <w:bidi w:val="0"/>
        <w:jc w:val="left"/>
        <w:rPr/>
      </w:pPr>
      <w:r>
        <w:rPr>
          <w:color w:val="000000"/>
        </w:rPr>
        <w:t>“</w:t>
      </w:r>
      <w:r>
        <w:rPr>
          <w:rFonts w:ascii="Arial" w:hAnsi="Arial"/>
          <w:color w:val="000000"/>
          <w:sz w:val="24"/>
        </w:rPr>
        <w:t>Our strong balance sheet enables us to continue to support an increasingly mature pipeline, including ongoing registrational studies of EIK1001 in both advanced melanoma and non-small cell lung cancer,” said Freddie Bowie, Ph.D., Chief Financial</w:t>
      </w:r>
      <w:r>
        <w:rPr>
          <w:rFonts w:ascii="Times New Roman" w:hAnsi="Times New Roman"/>
          <w:color w:val="000000"/>
          <w:sz w:val="20"/>
        </w:rPr>
        <w:t xml:space="preserve"> </w:t>
      </w:r>
    </w:p>
    <w:p>
      <w:pPr>
        <w:pStyle w:val="HorizontalLine"/>
        <w:pBdr>
          <w:bottom w:val="double" w:sz="2" w:space="0" w:color="808080"/>
        </w:pBdr>
        <w:bidi w:val="0"/>
        <w:spacing w:before="0" w:after="283"/>
        <w:jc w:val="left"/>
        <w:rPr/>
      </w:pPr>
      <w:r>
        <w:rPr/>
      </w:r>
    </w:p>
    <w:p>
      <w:pPr>
        <w:pStyle w:val="TextBody"/>
        <w:bidi w:val="0"/>
        <w:ind w:left="0" w:right="0" w:hanging="0"/>
        <w:jc w:val="left"/>
        <w:rPr/>
      </w:pPr>
      <w:r>
        <w:rPr/>
        <w:t> </w:t>
      </w:r>
    </w:p>
    <w:p>
      <w:pPr>
        <w:pStyle w:val="TextBody"/>
        <w:bidi w:val="0"/>
        <w:jc w:val="left"/>
        <w:rPr>
          <w:rFonts w:ascii="Arial" w:hAnsi="Arial"/>
          <w:color w:val="000000"/>
          <w:sz w:val="24"/>
        </w:rPr>
      </w:pPr>
      <w:r>
        <w:rPr>
          <w:rFonts w:ascii="Arial" w:hAnsi="Arial"/>
          <w:color w:val="000000"/>
          <w:sz w:val="24"/>
        </w:rPr>
        <w:t>Officer. “Additional development programs to be reviewed at ESMO demonstrate our ability to execute global clinical trials across multiple indications. We remain focused on deploying capital toward opportunities that we believe have the potential to significantly enhance shareholder value over the next few years.”</w:t>
      </w:r>
    </w:p>
    <w:p>
      <w:pPr>
        <w:pStyle w:val="TextBody"/>
        <w:bidi w:val="0"/>
        <w:jc w:val="left"/>
        <w:rPr/>
      </w:pPr>
      <w:r>
        <w:rPr/>
        <w:t> </w:t>
      </w:r>
    </w:p>
    <w:p>
      <w:pPr>
        <w:pStyle w:val="TextBody"/>
        <w:bidi w:val="0"/>
        <w:jc w:val="left"/>
        <w:rPr>
          <w:rFonts w:ascii="Arial" w:hAnsi="Arial"/>
          <w:b/>
          <w:color w:val="000000"/>
          <w:sz w:val="24"/>
        </w:rPr>
      </w:pPr>
      <w:r>
        <w:rPr>
          <w:rFonts w:ascii="Arial" w:hAnsi="Arial"/>
          <w:b/>
          <w:color w:val="000000"/>
          <w:sz w:val="24"/>
        </w:rPr>
        <w:t>About Eikon Therapeutics</w:t>
      </w:r>
    </w:p>
    <w:p>
      <w:pPr>
        <w:pStyle w:val="TextBody"/>
        <w:bidi w:val="0"/>
        <w:jc w:val="left"/>
        <w:rPr>
          <w:rFonts w:ascii="Times New Roman" w:hAnsi="Times New Roman"/>
          <w:sz w:val="20"/>
        </w:rPr>
      </w:pPr>
      <w:r>
        <w:rPr>
          <w:rFonts w:ascii="Arial" w:hAnsi="Arial"/>
          <w:color w:val="000000"/>
          <w:sz w:val="24"/>
        </w:rPr>
        <w:t xml:space="preserve">Eikon is a late-stage clinical biopharmaceutical company dedicated to building a global, fully integrated organization developing innovative medicines to address serious unmet medical needs. Eikon’s initial focus is oncology, where it is advancing a pipeline of drug candidates that could eventually become lifesaving medicines. Eikon deploys its technology platform, including its proprietary single molecule tracking system, to develop internally derived novel therapies, while also leveraging the deep expertise of its management team to in-license promising assets. Eikon’s vision is to become a generational leader, by purposefully integrating traditional biology research with advanced engineering to develop better medicines faster. For more information, visit </w:t>
      </w:r>
      <w:r>
        <w:rPr>
          <w:rFonts w:ascii="Arial" w:hAnsi="Arial"/>
          <w:sz w:val="24"/>
        </w:rPr>
        <w:t>www.eikontx.com</w:t>
      </w:r>
      <w:r>
        <w:rPr>
          <w:rFonts w:ascii="Arial" w:hAnsi="Arial"/>
          <w:color w:val="000000"/>
          <w:sz w:val="24"/>
        </w:rPr>
        <w:t>.</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Arial" w:hAnsi="Arial"/>
          <w:b/>
          <w:color w:val="000000"/>
          <w:sz w:val="24"/>
        </w:rPr>
      </w:pPr>
      <w:r>
        <w:rPr>
          <w:rFonts w:ascii="Arial" w:hAnsi="Arial"/>
          <w:b/>
          <w:color w:val="000000"/>
          <w:sz w:val="24"/>
        </w:rPr>
        <w:t>Forward-Looking/Safe Harbor Statements</w:t>
      </w:r>
    </w:p>
    <w:p>
      <w:pPr>
        <w:pStyle w:val="TextBody"/>
        <w:bidi w:val="0"/>
        <w:jc w:val="left"/>
        <w:rPr>
          <w:rFonts w:ascii="Arial" w:hAnsi="Arial"/>
          <w:color w:val="000000"/>
          <w:sz w:val="24"/>
        </w:rPr>
      </w:pPr>
      <w:r>
        <w:rPr>
          <w:rFonts w:ascii="Arial" w:hAnsi="Arial"/>
          <w:color w:val="000000"/>
          <w:sz w:val="24"/>
        </w:rPr>
        <w:t>This press release contains forward-looking statements within the meaning of the “safe harbor” provisions of the Private Securities Litigation Reform Act of 1995. All statements in this press release that are not historical facts are hereby identified as forward-looking statements for this purpose. These statements may be identified by words such as “aims,” “anticipates,” “believes,” “could,” “estimates,” “expects,” “forecasts,” “goal,” “intends,” “may,” “plans,” “possible,” “potential,” “seeks,” “will” and variations of these words or similar expressions that are intended to identify forward-looking statements, although not all forward-looking statements contain these words. Forward-looking statements in this press release include, but are not limited to, statements regarding: the therapeutic potential of Eikon’s product candidates; the timing for anticipated data readouts; expected milestones and business objectives for 2026 and beyond, including Eikon’s anticipated presentations at the ESMO Congress 2026 and the anticipated cash runway into the second half of 2027; and other statements regarding Eikon’s future operations, financial performance, financial position, prospects, objectives, strategies and other future events.</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4"/>
        </w:rPr>
        <w:t>These forward-looking statements are based upon management’s current expectations and assumptions, and are subject to a number of risks, uncertainties and other factors that could cause actual results and events to differ materially and adversely from those indicated by such forward-looking statements including, among others: Eikon’s limited operating history; its significant net losses incurred since inception and the likelihood of incurring additional losses for the foreseeable future; its need for substantial additional funding; the early stage of development of many of its product candidates and the possibility that its product candidates may fail in development; its dependence on the success of its current product candidates; its ability to leverage its technology platform to enable more informed drug research and development; legal and regulatory risks; intellectual property-related risks; and those risks, uncertainties and other factors discussed under the caption “Risk Factors” and elsewhere in Eikon’s Quarterly Report</w:t>
      </w:r>
      <w:r>
        <w:rPr>
          <w:rFonts w:ascii="Times New Roman" w:hAnsi="Times New Roman"/>
          <w:color w:val="000000"/>
          <w:sz w:val="20"/>
        </w:rPr>
        <w:t xml:space="preserve"> </w:t>
      </w:r>
    </w:p>
    <w:p>
      <w:pPr>
        <w:pStyle w:val="HorizontalLine"/>
        <w:pBdr>
          <w:bottom w:val="double" w:sz="2" w:space="0" w:color="808080"/>
        </w:pBdr>
        <w:bidi w:val="0"/>
        <w:spacing w:before="0" w:after="283"/>
        <w:jc w:val="left"/>
        <w:rPr/>
      </w:pPr>
      <w:r>
        <w:rPr/>
      </w:r>
    </w:p>
    <w:p>
      <w:pPr>
        <w:pStyle w:val="TextBody"/>
        <w:bidi w:val="0"/>
        <w:ind w:left="0" w:right="0" w:hanging="0"/>
        <w:jc w:val="left"/>
        <w:rPr/>
      </w:pPr>
      <w:r>
        <w:rPr/>
        <w:t> </w:t>
      </w:r>
    </w:p>
    <w:p>
      <w:pPr>
        <w:pStyle w:val="TextBody"/>
        <w:bidi w:val="0"/>
        <w:jc w:val="left"/>
        <w:rPr>
          <w:rFonts w:ascii="Arial" w:hAnsi="Arial"/>
          <w:color w:val="000000"/>
          <w:sz w:val="24"/>
        </w:rPr>
      </w:pPr>
      <w:r>
        <w:rPr>
          <w:rFonts w:ascii="Arial" w:hAnsi="Arial"/>
          <w:color w:val="000000"/>
          <w:sz w:val="24"/>
        </w:rPr>
        <w:t>on Form 10-Q for the quarter ended June 30, 2026, filed with the Securities and Exchange Commission (“SEC”) on August 13, 2026, and in other public filings with the SEC in the future.</w:t>
      </w:r>
    </w:p>
    <w:p>
      <w:pPr>
        <w:pStyle w:val="TextBody"/>
        <w:bidi w:val="0"/>
        <w:jc w:val="left"/>
        <w:rPr/>
      </w:pPr>
      <w:r>
        <w:rPr/>
        <w:t> </w:t>
      </w:r>
    </w:p>
    <w:p>
      <w:pPr>
        <w:pStyle w:val="TextBody"/>
        <w:bidi w:val="0"/>
        <w:jc w:val="left"/>
        <w:rPr>
          <w:rFonts w:ascii="Arial" w:hAnsi="Arial"/>
          <w:color w:val="000000"/>
          <w:sz w:val="24"/>
        </w:rPr>
      </w:pPr>
      <w:r>
        <w:rPr>
          <w:rFonts w:ascii="Arial" w:hAnsi="Arial"/>
          <w:color w:val="000000"/>
          <w:sz w:val="24"/>
        </w:rPr>
        <w:t>As a result, you should not place undue reliance on any forward-looking statements. The forward-looking statements made in this press release speak only as of the date of this press release, and Eikon undertakes no obligation to update such forward-looking statements, whether as a result of new information, future developments or otherwise, except as required by law.</w:t>
      </w:r>
    </w:p>
    <w:p>
      <w:pPr>
        <w:pStyle w:val="TextBody"/>
        <w:bidi w:val="0"/>
        <w:jc w:val="left"/>
        <w:rPr/>
      </w:pPr>
      <w:r>
        <w:rPr/>
        <w:t> </w:t>
      </w:r>
    </w:p>
    <w:p>
      <w:pPr>
        <w:pStyle w:val="TextBody"/>
        <w:bidi w:val="0"/>
        <w:jc w:val="left"/>
        <w:rPr>
          <w:rFonts w:ascii="Arial" w:hAnsi="Arial"/>
          <w:b/>
          <w:color w:val="000000"/>
          <w:sz w:val="24"/>
        </w:rPr>
      </w:pPr>
      <w:r>
        <w:rPr>
          <w:rFonts w:ascii="Arial" w:hAnsi="Arial"/>
          <w:b/>
          <w:color w:val="000000"/>
          <w:sz w:val="24"/>
        </w:rPr>
        <w:t>Contacts:</w:t>
      </w:r>
    </w:p>
    <w:p>
      <w:pPr>
        <w:pStyle w:val="TextBody"/>
        <w:bidi w:val="0"/>
        <w:jc w:val="left"/>
        <w:rPr/>
      </w:pPr>
      <w:r>
        <w:rPr/>
        <w:t> </w:t>
      </w:r>
    </w:p>
    <w:p>
      <w:pPr>
        <w:pStyle w:val="TextBody"/>
        <w:bidi w:val="0"/>
        <w:jc w:val="left"/>
        <w:rPr>
          <w:rFonts w:ascii="Arial" w:hAnsi="Arial"/>
          <w:b/>
          <w:color w:val="000000"/>
          <w:sz w:val="24"/>
        </w:rPr>
      </w:pPr>
      <w:r>
        <w:rPr>
          <w:rFonts w:ascii="Arial" w:hAnsi="Arial"/>
          <w:b/>
          <w:color w:val="000000"/>
          <w:sz w:val="24"/>
        </w:rPr>
        <w:t>Investors</w:t>
      </w:r>
    </w:p>
    <w:p>
      <w:pPr>
        <w:pStyle w:val="TextBody"/>
        <w:bidi w:val="0"/>
        <w:jc w:val="left"/>
        <w:rPr>
          <w:rFonts w:ascii="Arial" w:hAnsi="Arial"/>
          <w:color w:val="000000"/>
          <w:sz w:val="24"/>
        </w:rPr>
      </w:pPr>
      <w:r>
        <w:rPr>
          <w:rFonts w:ascii="Arial" w:hAnsi="Arial"/>
          <w:color w:val="000000"/>
          <w:sz w:val="24"/>
        </w:rPr>
        <w:t>Alfred “Freddie” Bowie, Ph.D., CFO</w:t>
      </w:r>
    </w:p>
    <w:p>
      <w:pPr>
        <w:pStyle w:val="TextBody"/>
        <w:bidi w:val="0"/>
        <w:jc w:val="left"/>
        <w:rPr>
          <w:rFonts w:ascii="Arial" w:hAnsi="Arial"/>
          <w:color w:val="000000"/>
          <w:sz w:val="24"/>
        </w:rPr>
      </w:pPr>
      <w:r>
        <w:rPr>
          <w:rFonts w:ascii="Arial" w:hAnsi="Arial"/>
          <w:color w:val="000000"/>
          <w:sz w:val="24"/>
        </w:rPr>
        <w:t>ir@eikontx.com</w:t>
      </w:r>
    </w:p>
    <w:p>
      <w:pPr>
        <w:pStyle w:val="TextBody"/>
        <w:bidi w:val="0"/>
        <w:jc w:val="left"/>
        <w:rPr/>
      </w:pPr>
      <w:r>
        <w:rPr/>
        <w:t> </w:t>
      </w:r>
    </w:p>
    <w:p>
      <w:pPr>
        <w:pStyle w:val="TextBody"/>
        <w:bidi w:val="0"/>
        <w:jc w:val="left"/>
        <w:rPr>
          <w:rFonts w:ascii="Arial" w:hAnsi="Arial"/>
          <w:b/>
          <w:color w:val="000000"/>
          <w:sz w:val="24"/>
        </w:rPr>
      </w:pPr>
      <w:r>
        <w:rPr>
          <w:rFonts w:ascii="Arial" w:hAnsi="Arial"/>
          <w:b/>
          <w:color w:val="000000"/>
          <w:sz w:val="24"/>
        </w:rPr>
        <w:t>Media</w:t>
      </w:r>
    </w:p>
    <w:p>
      <w:pPr>
        <w:pStyle w:val="TextBody"/>
        <w:bidi w:val="0"/>
        <w:jc w:val="left"/>
        <w:rPr>
          <w:rFonts w:ascii="Arial" w:hAnsi="Arial"/>
          <w:color w:val="000000"/>
          <w:sz w:val="24"/>
        </w:rPr>
      </w:pPr>
      <w:r>
        <w:rPr>
          <w:rFonts w:ascii="Arial" w:hAnsi="Arial"/>
          <w:color w:val="000000"/>
          <w:sz w:val="24"/>
        </w:rPr>
        <w:t>Colin Sanford</w:t>
      </w:r>
    </w:p>
    <w:p>
      <w:pPr>
        <w:pStyle w:val="TextBody"/>
        <w:bidi w:val="0"/>
        <w:jc w:val="left"/>
        <w:rPr>
          <w:rFonts w:ascii="Arial" w:hAnsi="Arial"/>
          <w:color w:val="000000"/>
          <w:sz w:val="24"/>
        </w:rPr>
      </w:pPr>
      <w:r>
        <w:rPr>
          <w:rFonts w:ascii="Arial" w:hAnsi="Arial"/>
          <w:color w:val="000000"/>
          <w:sz w:val="24"/>
        </w:rPr>
        <w:t>colin@bioscribe.com</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ind w:left="0" w:right="0" w:hanging="0"/>
        <w:jc w:val="left"/>
        <w:rPr/>
      </w:pPr>
      <w:r>
        <w:rPr/>
        <w:t> </w:t>
      </w:r>
    </w:p>
    <w:p>
      <w:pPr>
        <w:pStyle w:val="TextBody"/>
        <w:bidi w:val="0"/>
        <w:jc w:val="center"/>
        <w:rPr>
          <w:rFonts w:ascii="Arial" w:hAnsi="Arial"/>
          <w:b/>
          <w:color w:val="000000"/>
          <w:sz w:val="24"/>
        </w:rPr>
      </w:pPr>
      <w:r>
        <w:rPr>
          <w:rFonts w:ascii="Arial" w:hAnsi="Arial"/>
          <w:b/>
          <w:color w:val="000000"/>
          <w:sz w:val="24"/>
        </w:rPr>
        <w:t>Eikon Therapeutics, Inc.</w:t>
      </w:r>
    </w:p>
    <w:p>
      <w:pPr>
        <w:pStyle w:val="TextBody"/>
        <w:bidi w:val="0"/>
        <w:jc w:val="center"/>
        <w:rPr>
          <w:rFonts w:ascii="Arial" w:hAnsi="Arial"/>
          <w:b/>
          <w:color w:val="000000"/>
          <w:sz w:val="24"/>
        </w:rPr>
      </w:pPr>
      <w:r>
        <w:rPr>
          <w:rFonts w:ascii="Arial" w:hAnsi="Arial"/>
          <w:b/>
          <w:color w:val="000000"/>
          <w:sz w:val="24"/>
        </w:rPr>
        <w:t>Statements of Operations and Comprehensive Loss</w:t>
      </w:r>
    </w:p>
    <w:p>
      <w:pPr>
        <w:pStyle w:val="TextBody"/>
        <w:bidi w:val="0"/>
        <w:jc w:val="center"/>
        <w:rPr>
          <w:rFonts w:ascii="Arial" w:hAnsi="Arial"/>
          <w:b/>
          <w:color w:val="000000"/>
          <w:sz w:val="24"/>
        </w:rPr>
      </w:pPr>
      <w:r>
        <w:rPr>
          <w:rFonts w:ascii="Arial" w:hAnsi="Arial"/>
          <w:b/>
          <w:color w:val="000000"/>
          <w:sz w:val="24"/>
        </w:rPr>
        <w:t>(in thousands, except share and per share amounts)</w:t>
      </w:r>
    </w:p>
    <w:p>
      <w:pPr>
        <w:pStyle w:val="TextBody"/>
        <w:bidi w:val="0"/>
        <w:jc w:val="center"/>
        <w:rPr>
          <w:rFonts w:ascii="Arial" w:hAnsi="Arial"/>
          <w:b/>
          <w:color w:val="000000"/>
          <w:sz w:val="24"/>
        </w:rPr>
      </w:pPr>
      <w:r>
        <w:rPr>
          <w:rFonts w:ascii="Arial" w:hAnsi="Arial"/>
          <w:b/>
          <w:color w:val="000000"/>
          <w:sz w:val="24"/>
        </w:rPr>
        <w:t>(Unaudited)</w:t>
      </w:r>
    </w:p>
    <w:p>
      <w:pPr>
        <w:pStyle w:val="TextBody"/>
        <w:bidi w:val="0"/>
        <w:jc w:val="left"/>
        <w:rPr/>
      </w:pPr>
      <w:bookmarkStart w:id="4" w:name="range_a5_h25"/>
      <w:bookmarkEnd w:id="4"/>
      <w:r>
        <w:rPr/>
        <w:t> </w:t>
      </w:r>
    </w:p>
    <w:tbl>
      <w:tblPr>
        <w:tblW w:w="10205" w:type="dxa"/>
        <w:jc w:val="left"/>
        <w:tblInd w:w="0" w:type="dxa"/>
        <w:tblLayout w:type="fixed"/>
        <w:tblCellMar>
          <w:top w:w="28" w:type="dxa"/>
          <w:left w:w="28" w:type="dxa"/>
          <w:bottom w:w="28" w:type="dxa"/>
          <w:right w:w="28" w:type="dxa"/>
        </w:tblCellMar>
      </w:tblPr>
      <w:tblGrid>
        <w:gridCol w:w="4640"/>
        <w:gridCol w:w="1348"/>
        <w:gridCol w:w="146"/>
        <w:gridCol w:w="1228"/>
        <w:gridCol w:w="146"/>
        <w:gridCol w:w="1348"/>
        <w:gridCol w:w="146"/>
        <w:gridCol w:w="1203"/>
      </w:tblGrid>
      <w:tr>
        <w:trPr/>
        <w:tc>
          <w:tcPr>
            <w:tcW w:w="4640" w:type="dxa"/>
            <w:tcBorders/>
            <w:vAlign w:val="center"/>
          </w:tcPr>
          <w:p>
            <w:pPr>
              <w:pStyle w:val="TableContents"/>
              <w:bidi w:val="0"/>
              <w:spacing w:before="0" w:after="283"/>
              <w:jc w:val="left"/>
              <w:rPr>
                <w:sz w:val="4"/>
                <w:szCs w:val="4"/>
              </w:rPr>
            </w:pPr>
            <w:r>
              <w:rPr>
                <w:sz w:val="4"/>
                <w:szCs w:val="4"/>
              </w:rPr>
            </w:r>
          </w:p>
        </w:tc>
        <w:tc>
          <w:tcPr>
            <w:tcW w:w="134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2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34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03" w:type="dxa"/>
            <w:tcBorders/>
            <w:vAlign w:val="center"/>
          </w:tcPr>
          <w:p>
            <w:pPr>
              <w:pStyle w:val="TableContents"/>
              <w:bidi w:val="0"/>
              <w:spacing w:before="0" w:after="283"/>
              <w:jc w:val="left"/>
              <w:rPr>
                <w:sz w:val="4"/>
                <w:szCs w:val="4"/>
              </w:rPr>
            </w:pPr>
            <w:r>
              <w:rPr>
                <w:sz w:val="4"/>
                <w:szCs w:val="4"/>
              </w:rPr>
            </w:r>
          </w:p>
        </w:tc>
      </w:tr>
      <w:tr>
        <w:trPr/>
        <w:tc>
          <w:tcPr>
            <w:tcW w:w="4640" w:type="dxa"/>
            <w:tcBorders/>
            <w:tcMar>
              <w:top w:w="0" w:type="dxa"/>
              <w:left w:w="0" w:type="dxa"/>
              <w:bottom w:w="0" w:type="dxa"/>
              <w:right w:w="0" w:type="dxa"/>
            </w:tcMar>
            <w:vAlign w:val="center"/>
          </w:tcPr>
          <w:p>
            <w:pPr>
              <w:pStyle w:val="TableContents"/>
              <w:bidi w:val="0"/>
              <w:spacing w:before="0" w:after="283"/>
              <w:jc w:val="left"/>
              <w:rPr/>
            </w:pPr>
            <w:r>
              <w:rPr/>
              <w:t> </w:t>
            </w:r>
          </w:p>
        </w:tc>
        <w:tc>
          <w:tcPr>
            <w:tcW w:w="5565" w:type="dxa"/>
            <w:gridSpan w:val="7"/>
            <w:tcBorders/>
            <w:tcMar>
              <w:top w:w="0" w:type="dxa"/>
              <w:left w:w="0" w:type="dxa"/>
              <w:bottom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(in thousands, except share and per share amounts)</w:t>
            </w:r>
          </w:p>
        </w:tc>
      </w:tr>
      <w:tr>
        <w:trPr/>
        <w:tc>
          <w:tcPr>
            <w:tcW w:w="4640" w:type="dxa"/>
            <w:tcBorders/>
            <w:tcMar>
              <w:top w:w="0" w:type="dxa"/>
              <w:left w:w="0" w:type="dxa"/>
              <w:bottom w:w="0" w:type="dxa"/>
              <w:right w:w="0" w:type="dxa"/>
            </w:tcMar>
            <w:vAlign w:val="center"/>
          </w:tcPr>
          <w:p>
            <w:pPr>
              <w:pStyle w:val="TableContents"/>
              <w:bidi w:val="0"/>
              <w:spacing w:before="0" w:after="283"/>
              <w:jc w:val="center"/>
              <w:rPr/>
            </w:pPr>
            <w:r>
              <w:rPr/>
              <w:t> </w:t>
            </w:r>
          </w:p>
        </w:tc>
        <w:tc>
          <w:tcPr>
            <w:tcW w:w="2722" w:type="dxa"/>
            <w:gridSpan w:val="3"/>
            <w:tcBorders>
              <w:bottom w:val="single" w:sz="4" w:space="0" w:color="000000"/>
            </w:tcBorders>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Three Months Ended June 30,</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2697" w:type="dxa"/>
            <w:gridSpan w:val="3"/>
            <w:tcBorders>
              <w:bottom w:val="single" w:sz="4" w:space="0" w:color="000000"/>
            </w:tcBorders>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Six Months Ended June 30,</w:t>
            </w:r>
          </w:p>
        </w:tc>
      </w:tr>
      <w:tr>
        <w:trPr/>
        <w:tc>
          <w:tcPr>
            <w:tcW w:w="4640"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48"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2026</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228"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2025</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348"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2026</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203"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2025</w:t>
            </w:r>
          </w:p>
        </w:tc>
      </w:tr>
      <w:tr>
        <w:trPr/>
        <w:tc>
          <w:tcPr>
            <w:tcW w:w="4640"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Operating expenses:</w:t>
            </w:r>
          </w:p>
        </w:tc>
        <w:tc>
          <w:tcPr>
            <w:tcW w:w="134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2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34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0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640"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Research and development</w:t>
            </w:r>
          </w:p>
        </w:tc>
        <w:tc>
          <w:tcPr>
            <w:tcW w:w="1348" w:type="dxa"/>
            <w:tcBorders/>
            <w:tcMar>
              <w:top w:w="0" w:type="dxa"/>
              <w:left w:w="0" w:type="dxa"/>
              <w:bottom w:w="0" w:type="dxa"/>
              <w:right w:w="0" w:type="dxa"/>
            </w:tcMar>
            <w:vAlign w:val="center"/>
          </w:tcPr>
          <w:p>
            <w:pPr>
              <w:pStyle w:val="TableContents"/>
              <w:bidi w:val="0"/>
              <w:spacing w:before="0" w:after="283"/>
              <w:jc w:val="right"/>
              <w:rPr/>
            </w:pPr>
            <w:r>
              <w:rPr>
                <w:color w:val="000000"/>
              </w:rPr>
              <w:t> </w:t>
            </w:r>
            <w:r>
              <w:rPr>
                <w:rFonts w:ascii="Arial" w:hAnsi="Arial"/>
                <w:color w:val="000000"/>
                <w:sz w:val="20"/>
              </w:rPr>
              <w:t>$ 75,460</w:t>
            </w:r>
            <w:r>
              <w:rPr>
                <w:rFonts w:ascii="Times New Roman" w:hAnsi="Times New Roman"/>
                <w:color w:val="000000"/>
                <w:sz w:val="20"/>
              </w:rPr>
              <w:t xml:space="preserve">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228" w:type="dxa"/>
            <w:tcBorders/>
            <w:tcMar>
              <w:top w:w="0" w:type="dxa"/>
              <w:left w:w="0" w:type="dxa"/>
              <w:bottom w:w="0" w:type="dxa"/>
              <w:right w:w="0" w:type="dxa"/>
            </w:tcMar>
            <w:vAlign w:val="center"/>
          </w:tcPr>
          <w:p>
            <w:pPr>
              <w:pStyle w:val="TableContents"/>
              <w:bidi w:val="0"/>
              <w:spacing w:before="0" w:after="283"/>
              <w:jc w:val="right"/>
              <w:rPr/>
            </w:pPr>
            <w:r>
              <w:rPr>
                <w:color w:val="000000"/>
              </w:rPr>
              <w:t> </w:t>
            </w:r>
            <w:r>
              <w:rPr>
                <w:rFonts w:ascii="Arial" w:hAnsi="Arial"/>
                <w:color w:val="000000"/>
                <w:sz w:val="20"/>
              </w:rPr>
              <w:t>$ 69,189</w:t>
            </w:r>
            <w:r>
              <w:rPr>
                <w:rFonts w:ascii="Times New Roman" w:hAnsi="Times New Roman"/>
                <w:color w:val="000000"/>
                <w:sz w:val="20"/>
              </w:rPr>
              <w:t xml:space="preserve">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348" w:type="dxa"/>
            <w:tcBorders/>
            <w:tcMar>
              <w:top w:w="0" w:type="dxa"/>
              <w:left w:w="0" w:type="dxa"/>
              <w:bottom w:w="0" w:type="dxa"/>
              <w:right w:w="0" w:type="dxa"/>
            </w:tcMar>
            <w:vAlign w:val="center"/>
          </w:tcPr>
          <w:p>
            <w:pPr>
              <w:pStyle w:val="TableContents"/>
              <w:bidi w:val="0"/>
              <w:spacing w:before="0" w:after="283"/>
              <w:jc w:val="right"/>
              <w:rPr/>
            </w:pPr>
            <w:r>
              <w:rPr>
                <w:color w:val="000000"/>
              </w:rPr>
              <w:t> </w:t>
            </w:r>
            <w:r>
              <w:rPr>
                <w:rFonts w:ascii="Arial" w:hAnsi="Arial"/>
                <w:color w:val="000000"/>
                <w:sz w:val="20"/>
              </w:rPr>
              <w:t>$ 145,507</w:t>
            </w:r>
            <w:r>
              <w:rPr>
                <w:rFonts w:ascii="Times New Roman" w:hAnsi="Times New Roman"/>
                <w:color w:val="000000"/>
                <w:sz w:val="20"/>
              </w:rPr>
              <w:t xml:space="preserve">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203" w:type="dxa"/>
            <w:tcBorders/>
            <w:tcMar>
              <w:top w:w="0" w:type="dxa"/>
              <w:left w:w="0" w:type="dxa"/>
              <w:bottom w:w="0" w:type="dxa"/>
              <w:right w:w="0" w:type="dxa"/>
            </w:tcMar>
            <w:vAlign w:val="center"/>
          </w:tcPr>
          <w:p>
            <w:pPr>
              <w:pStyle w:val="TableContents"/>
              <w:bidi w:val="0"/>
              <w:spacing w:before="0" w:after="283"/>
              <w:jc w:val="right"/>
              <w:rPr/>
            </w:pPr>
            <w:r>
              <w:rPr>
                <w:color w:val="000000"/>
              </w:rPr>
              <w:t> </w:t>
            </w:r>
            <w:r>
              <w:rPr>
                <w:rFonts w:ascii="Arial" w:hAnsi="Arial"/>
                <w:color w:val="000000"/>
                <w:sz w:val="20"/>
              </w:rPr>
              <w:t>$ 125,776</w:t>
            </w:r>
            <w:r>
              <w:rPr>
                <w:rFonts w:ascii="Times New Roman" w:hAnsi="Times New Roman"/>
                <w:color w:val="000000"/>
                <w:sz w:val="20"/>
              </w:rPr>
              <w:t xml:space="preserve"> </w:t>
            </w:r>
          </w:p>
        </w:tc>
      </w:tr>
      <w:tr>
        <w:trPr/>
        <w:tc>
          <w:tcPr>
            <w:tcW w:w="4640"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General and administrative</w:t>
            </w:r>
          </w:p>
        </w:tc>
        <w:tc>
          <w:tcPr>
            <w:tcW w:w="1348" w:type="dxa"/>
            <w:tcBorders/>
            <w:shd w:fill="CFF0FC" w:val="clear"/>
            <w:tcMar>
              <w:top w:w="0" w:type="dxa"/>
              <w:left w:w="0" w:type="dxa"/>
              <w:bottom w:w="0" w:type="dxa"/>
              <w:right w:w="0" w:type="dxa"/>
            </w:tcMar>
            <w:vAlign w:val="center"/>
          </w:tcPr>
          <w:p>
            <w:pPr>
              <w:pStyle w:val="TableContents"/>
              <w:bidi w:val="0"/>
              <w:spacing w:before="0" w:after="283"/>
              <w:jc w:val="right"/>
              <w:rPr/>
            </w:pPr>
            <w:r>
              <w:rPr>
                <w:color w:val="000000"/>
              </w:rPr>
              <w:t>         </w:t>
            </w:r>
            <w:r>
              <w:rPr>
                <w:rFonts w:ascii="Arial" w:hAnsi="Arial"/>
                <w:color w:val="000000"/>
                <w:sz w:val="20"/>
              </w:rPr>
              <w:t>17,934</w:t>
            </w:r>
            <w:r>
              <w:rPr>
                <w:rFonts w:ascii="Times New Roman" w:hAnsi="Times New Roman"/>
                <w:color w:val="000000"/>
                <w:sz w:val="20"/>
              </w:rPr>
              <w:t xml:space="preserve">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28" w:type="dxa"/>
            <w:tcBorders/>
            <w:shd w:fill="CFF0FC" w:val="clear"/>
            <w:tcMar>
              <w:top w:w="0" w:type="dxa"/>
              <w:left w:w="0" w:type="dxa"/>
              <w:bottom w:w="0" w:type="dxa"/>
              <w:right w:w="0" w:type="dxa"/>
            </w:tcMar>
            <w:vAlign w:val="center"/>
          </w:tcPr>
          <w:p>
            <w:pPr>
              <w:pStyle w:val="TableContents"/>
              <w:bidi w:val="0"/>
              <w:spacing w:before="0" w:after="283"/>
              <w:jc w:val="right"/>
              <w:rPr/>
            </w:pPr>
            <w:r>
              <w:rPr>
                <w:color w:val="000000"/>
              </w:rPr>
              <w:t>       </w:t>
            </w:r>
            <w:r>
              <w:rPr>
                <w:rFonts w:ascii="Arial" w:hAnsi="Arial"/>
                <w:color w:val="000000"/>
                <w:sz w:val="20"/>
              </w:rPr>
              <w:t>40,454</w:t>
            </w:r>
            <w:r>
              <w:rPr>
                <w:rFonts w:ascii="Times New Roman" w:hAnsi="Times New Roman"/>
                <w:color w:val="000000"/>
                <w:sz w:val="20"/>
              </w:rPr>
              <w:t xml:space="preserve">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348" w:type="dxa"/>
            <w:tcBorders/>
            <w:shd w:fill="CFF0FC" w:val="clear"/>
            <w:tcMar>
              <w:top w:w="0" w:type="dxa"/>
              <w:left w:w="0" w:type="dxa"/>
              <w:bottom w:w="0" w:type="dxa"/>
              <w:right w:w="0" w:type="dxa"/>
            </w:tcMar>
            <w:vAlign w:val="center"/>
          </w:tcPr>
          <w:p>
            <w:pPr>
              <w:pStyle w:val="TableContents"/>
              <w:bidi w:val="0"/>
              <w:spacing w:before="0" w:after="283"/>
              <w:jc w:val="right"/>
              <w:rPr/>
            </w:pPr>
            <w:r>
              <w:rPr>
                <w:color w:val="000000"/>
              </w:rPr>
              <w:t>         </w:t>
            </w:r>
            <w:r>
              <w:rPr>
                <w:rFonts w:ascii="Arial" w:hAnsi="Arial"/>
                <w:color w:val="000000"/>
                <w:sz w:val="20"/>
              </w:rPr>
              <w:t>35,224</w:t>
            </w:r>
            <w:r>
              <w:rPr>
                <w:rFonts w:ascii="Times New Roman" w:hAnsi="Times New Roman"/>
                <w:color w:val="000000"/>
                <w:sz w:val="20"/>
              </w:rPr>
              <w:t xml:space="preserve">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03" w:type="dxa"/>
            <w:tcBorders/>
            <w:shd w:fill="CFF0FC" w:val="clear"/>
            <w:tcMar>
              <w:top w:w="0" w:type="dxa"/>
              <w:left w:w="0" w:type="dxa"/>
              <w:bottom w:w="0" w:type="dxa"/>
              <w:right w:w="0" w:type="dxa"/>
            </w:tcMar>
            <w:vAlign w:val="center"/>
          </w:tcPr>
          <w:p>
            <w:pPr>
              <w:pStyle w:val="TableContents"/>
              <w:bidi w:val="0"/>
              <w:spacing w:before="0" w:after="283"/>
              <w:jc w:val="right"/>
              <w:rPr/>
            </w:pPr>
            <w:r>
              <w:rPr>
                <w:color w:val="000000"/>
              </w:rPr>
              <w:t>       </w:t>
            </w:r>
            <w:r>
              <w:rPr>
                <w:rFonts w:ascii="Arial" w:hAnsi="Arial"/>
                <w:color w:val="000000"/>
                <w:sz w:val="20"/>
              </w:rPr>
              <w:t>55,250</w:t>
            </w:r>
            <w:r>
              <w:rPr>
                <w:rFonts w:ascii="Times New Roman" w:hAnsi="Times New Roman"/>
                <w:color w:val="000000"/>
                <w:sz w:val="20"/>
              </w:rPr>
              <w:t xml:space="preserve"> </w:t>
            </w:r>
          </w:p>
        </w:tc>
      </w:tr>
      <w:tr>
        <w:trPr/>
        <w:tc>
          <w:tcPr>
            <w:tcW w:w="4640"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Total operating expenses</w:t>
            </w:r>
          </w:p>
        </w:tc>
        <w:tc>
          <w:tcPr>
            <w:tcW w:w="1348" w:type="dxa"/>
            <w:tcBorders>
              <w:top w:val="single" w:sz="4" w:space="0" w:color="000000"/>
              <w:bottom w:val="single" w:sz="4" w:space="0" w:color="000000"/>
            </w:tcBorders>
            <w:tcMar>
              <w:left w:w="0" w:type="dxa"/>
              <w:right w:w="0" w:type="dxa"/>
            </w:tcMar>
            <w:vAlign w:val="center"/>
          </w:tcPr>
          <w:p>
            <w:pPr>
              <w:pStyle w:val="TableContents"/>
              <w:bidi w:val="0"/>
              <w:spacing w:before="0" w:after="283"/>
              <w:jc w:val="right"/>
              <w:rPr/>
            </w:pPr>
            <w:r>
              <w:rPr>
                <w:color w:val="000000"/>
              </w:rPr>
              <w:t>         </w:t>
            </w:r>
            <w:r>
              <w:rPr>
                <w:rFonts w:ascii="Arial" w:hAnsi="Arial"/>
                <w:color w:val="000000"/>
                <w:sz w:val="20"/>
              </w:rPr>
              <w:t>93,394</w:t>
            </w:r>
            <w:r>
              <w:rPr>
                <w:rFonts w:ascii="Times New Roman" w:hAnsi="Times New Roman"/>
                <w:color w:val="000000"/>
                <w:sz w:val="20"/>
              </w:rPr>
              <w:t xml:space="preserve"> </w:t>
            </w:r>
          </w:p>
        </w:tc>
        <w:tc>
          <w:tcPr>
            <w:tcW w:w="146" w:type="dxa"/>
            <w:tcBorders>
              <w:top w:val="single" w:sz="4" w:space="0" w:color="000000"/>
            </w:tcBorders>
            <w:tcMar>
              <w:left w:w="0" w:type="dxa"/>
              <w:bottom w:w="0" w:type="dxa"/>
              <w:right w:w="0" w:type="dxa"/>
            </w:tcMar>
            <w:vAlign w:val="center"/>
          </w:tcPr>
          <w:p>
            <w:pPr>
              <w:pStyle w:val="TableContents"/>
              <w:bidi w:val="0"/>
              <w:spacing w:before="0" w:after="283"/>
              <w:jc w:val="right"/>
              <w:rPr/>
            </w:pPr>
            <w:r>
              <w:rPr/>
              <w:t> </w:t>
            </w:r>
          </w:p>
        </w:tc>
        <w:tc>
          <w:tcPr>
            <w:tcW w:w="1228" w:type="dxa"/>
            <w:tcBorders>
              <w:top w:val="single" w:sz="4" w:space="0" w:color="000000"/>
              <w:bottom w:val="single" w:sz="4" w:space="0" w:color="000000"/>
            </w:tcBorders>
            <w:tcMar>
              <w:left w:w="0" w:type="dxa"/>
              <w:right w:w="0" w:type="dxa"/>
            </w:tcMar>
            <w:vAlign w:val="center"/>
          </w:tcPr>
          <w:p>
            <w:pPr>
              <w:pStyle w:val="TableContents"/>
              <w:bidi w:val="0"/>
              <w:spacing w:before="0" w:after="283"/>
              <w:jc w:val="right"/>
              <w:rPr/>
            </w:pPr>
            <w:r>
              <w:rPr>
                <w:color w:val="000000"/>
              </w:rPr>
              <w:t>     </w:t>
            </w:r>
            <w:r>
              <w:rPr>
                <w:rFonts w:ascii="Arial" w:hAnsi="Arial"/>
                <w:color w:val="000000"/>
                <w:sz w:val="20"/>
              </w:rPr>
              <w:t>109,643</w:t>
            </w:r>
            <w:r>
              <w:rPr>
                <w:rFonts w:ascii="Times New Roman" w:hAnsi="Times New Roman"/>
                <w:color w:val="000000"/>
                <w:sz w:val="20"/>
              </w:rPr>
              <w:t xml:space="preserve"> </w:t>
            </w:r>
          </w:p>
        </w:tc>
        <w:tc>
          <w:tcPr>
            <w:tcW w:w="146" w:type="dxa"/>
            <w:tcBorders>
              <w:top w:val="single" w:sz="4" w:space="0" w:color="000000"/>
            </w:tcBorders>
            <w:tcMar>
              <w:left w:w="0" w:type="dxa"/>
              <w:bottom w:w="0" w:type="dxa"/>
              <w:right w:w="0" w:type="dxa"/>
            </w:tcMar>
            <w:vAlign w:val="center"/>
          </w:tcPr>
          <w:p>
            <w:pPr>
              <w:pStyle w:val="TableContents"/>
              <w:bidi w:val="0"/>
              <w:spacing w:before="0" w:after="283"/>
              <w:jc w:val="right"/>
              <w:rPr/>
            </w:pPr>
            <w:r>
              <w:rPr/>
              <w:t> </w:t>
            </w:r>
          </w:p>
        </w:tc>
        <w:tc>
          <w:tcPr>
            <w:tcW w:w="1348" w:type="dxa"/>
            <w:tcBorders>
              <w:top w:val="single" w:sz="4" w:space="0" w:color="000000"/>
              <w:bottom w:val="single" w:sz="4" w:space="0" w:color="000000"/>
            </w:tcBorders>
            <w:tcMar>
              <w:left w:w="0" w:type="dxa"/>
              <w:right w:w="0" w:type="dxa"/>
            </w:tcMar>
            <w:vAlign w:val="center"/>
          </w:tcPr>
          <w:p>
            <w:pPr>
              <w:pStyle w:val="TableContents"/>
              <w:bidi w:val="0"/>
              <w:spacing w:before="0" w:after="283"/>
              <w:jc w:val="right"/>
              <w:rPr/>
            </w:pPr>
            <w:r>
              <w:rPr>
                <w:color w:val="000000"/>
              </w:rPr>
              <w:t>       </w:t>
            </w:r>
            <w:r>
              <w:rPr>
                <w:rFonts w:ascii="Arial" w:hAnsi="Arial"/>
                <w:color w:val="000000"/>
                <w:sz w:val="20"/>
              </w:rPr>
              <w:t>180,731</w:t>
            </w:r>
            <w:r>
              <w:rPr>
                <w:rFonts w:ascii="Times New Roman" w:hAnsi="Times New Roman"/>
                <w:color w:val="000000"/>
                <w:sz w:val="20"/>
              </w:rPr>
              <w:t xml:space="preserve"> </w:t>
            </w:r>
          </w:p>
        </w:tc>
        <w:tc>
          <w:tcPr>
            <w:tcW w:w="146" w:type="dxa"/>
            <w:tcBorders>
              <w:top w:val="single" w:sz="4" w:space="0" w:color="000000"/>
            </w:tcBorders>
            <w:tcMar>
              <w:left w:w="0" w:type="dxa"/>
              <w:bottom w:w="0" w:type="dxa"/>
              <w:right w:w="0" w:type="dxa"/>
            </w:tcMar>
            <w:vAlign w:val="center"/>
          </w:tcPr>
          <w:p>
            <w:pPr>
              <w:pStyle w:val="TableContents"/>
              <w:bidi w:val="0"/>
              <w:spacing w:before="0" w:after="283"/>
              <w:jc w:val="right"/>
              <w:rPr/>
            </w:pPr>
            <w:r>
              <w:rPr/>
              <w:t> </w:t>
            </w:r>
          </w:p>
        </w:tc>
        <w:tc>
          <w:tcPr>
            <w:tcW w:w="1203" w:type="dxa"/>
            <w:tcBorders>
              <w:top w:val="single" w:sz="4" w:space="0" w:color="000000"/>
              <w:bottom w:val="single" w:sz="4" w:space="0" w:color="000000"/>
            </w:tcBorders>
            <w:tcMar>
              <w:left w:w="0" w:type="dxa"/>
              <w:right w:w="0" w:type="dxa"/>
            </w:tcMar>
            <w:vAlign w:val="center"/>
          </w:tcPr>
          <w:p>
            <w:pPr>
              <w:pStyle w:val="TableContents"/>
              <w:bidi w:val="0"/>
              <w:spacing w:before="0" w:after="283"/>
              <w:jc w:val="right"/>
              <w:rPr/>
            </w:pPr>
            <w:r>
              <w:rPr>
                <w:color w:val="000000"/>
              </w:rPr>
              <w:t>     </w:t>
            </w:r>
            <w:r>
              <w:rPr>
                <w:rFonts w:ascii="Arial" w:hAnsi="Arial"/>
                <w:color w:val="000000"/>
                <w:sz w:val="20"/>
              </w:rPr>
              <w:t>181,026</w:t>
            </w:r>
            <w:r>
              <w:rPr>
                <w:rFonts w:ascii="Times New Roman" w:hAnsi="Times New Roman"/>
                <w:color w:val="000000"/>
                <w:sz w:val="20"/>
              </w:rPr>
              <w:t xml:space="preserve"> </w:t>
            </w:r>
          </w:p>
        </w:tc>
      </w:tr>
      <w:tr>
        <w:trPr/>
        <w:tc>
          <w:tcPr>
            <w:tcW w:w="464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Arial" w:hAnsi="Arial"/>
                <w:color w:val="000000"/>
                <w:sz w:val="20"/>
              </w:rPr>
              <w:t>Loss from operations</w:t>
            </w:r>
            <w:r>
              <w:rPr>
                <w:rFonts w:ascii="Times New Roman" w:hAnsi="Times New Roman"/>
                <w:color w:val="000000"/>
                <w:sz w:val="20"/>
              </w:rPr>
              <w:t xml:space="preserve"> </w:t>
            </w:r>
          </w:p>
        </w:tc>
        <w:tc>
          <w:tcPr>
            <w:tcW w:w="134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       </w:t>
            </w:r>
            <w:r>
              <w:rPr>
                <w:rFonts w:ascii="Arial" w:hAnsi="Arial"/>
                <w:color w:val="000000"/>
                <w:sz w:val="20"/>
              </w:rPr>
              <w:t>(93,394)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2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   </w:t>
            </w:r>
            <w:r>
              <w:rPr>
                <w:rFonts w:ascii="Arial" w:hAnsi="Arial"/>
                <w:color w:val="000000"/>
                <w:sz w:val="20"/>
              </w:rPr>
              <w:t>(109,643)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34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     </w:t>
            </w:r>
            <w:r>
              <w:rPr>
                <w:rFonts w:ascii="Arial" w:hAnsi="Arial"/>
                <w:color w:val="000000"/>
                <w:sz w:val="20"/>
              </w:rPr>
              <w:t>(180,731)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0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   </w:t>
            </w:r>
            <w:r>
              <w:rPr>
                <w:rFonts w:ascii="Arial" w:hAnsi="Arial"/>
                <w:color w:val="000000"/>
                <w:sz w:val="20"/>
              </w:rPr>
              <w:t>(181,026)</w:t>
            </w:r>
          </w:p>
        </w:tc>
      </w:tr>
      <w:tr>
        <w:trPr/>
        <w:tc>
          <w:tcPr>
            <w:tcW w:w="4640"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Interest income (expense), net</w:t>
            </w:r>
          </w:p>
        </w:tc>
        <w:tc>
          <w:tcPr>
            <w:tcW w:w="1348" w:type="dxa"/>
            <w:tcBorders/>
            <w:tcMar>
              <w:top w:w="0" w:type="dxa"/>
              <w:left w:w="0" w:type="dxa"/>
              <w:bottom w:w="0" w:type="dxa"/>
              <w:right w:w="0" w:type="dxa"/>
            </w:tcMar>
            <w:vAlign w:val="center"/>
          </w:tcPr>
          <w:p>
            <w:pPr>
              <w:pStyle w:val="TableContents"/>
              <w:bidi w:val="0"/>
              <w:spacing w:before="0" w:after="283"/>
              <w:jc w:val="right"/>
              <w:rPr/>
            </w:pPr>
            <w:r>
              <w:rPr>
                <w:color w:val="000000"/>
              </w:rPr>
              <w:t>           </w:t>
            </w:r>
            <w:r>
              <w:rPr>
                <w:rFonts w:ascii="Arial" w:hAnsi="Arial"/>
                <w:color w:val="000000"/>
                <w:sz w:val="20"/>
              </w:rPr>
              <w:t>5,037</w:t>
            </w:r>
            <w:r>
              <w:rPr>
                <w:rFonts w:ascii="Times New Roman" w:hAnsi="Times New Roman"/>
                <w:color w:val="000000"/>
                <w:sz w:val="20"/>
              </w:rPr>
              <w:t xml:space="preserve">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228" w:type="dxa"/>
            <w:tcBorders/>
            <w:tcMar>
              <w:top w:w="0" w:type="dxa"/>
              <w:left w:w="0" w:type="dxa"/>
              <w:bottom w:w="0" w:type="dxa"/>
              <w:right w:w="0" w:type="dxa"/>
            </w:tcMar>
            <w:vAlign w:val="center"/>
          </w:tcPr>
          <w:p>
            <w:pPr>
              <w:pStyle w:val="TableContents"/>
              <w:bidi w:val="0"/>
              <w:spacing w:before="0" w:after="283"/>
              <w:jc w:val="right"/>
              <w:rPr/>
            </w:pPr>
            <w:r>
              <w:rPr>
                <w:color w:val="000000"/>
              </w:rPr>
              <w:t>         </w:t>
            </w:r>
            <w:r>
              <w:rPr>
                <w:rFonts w:ascii="Arial" w:hAnsi="Arial"/>
                <w:color w:val="000000"/>
                <w:sz w:val="20"/>
              </w:rPr>
              <w:t>4,434</w:t>
            </w:r>
            <w:r>
              <w:rPr>
                <w:rFonts w:ascii="Times New Roman" w:hAnsi="Times New Roman"/>
                <w:color w:val="000000"/>
                <w:sz w:val="20"/>
              </w:rPr>
              <w:t xml:space="preserve">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348" w:type="dxa"/>
            <w:tcBorders/>
            <w:tcMar>
              <w:top w:w="0" w:type="dxa"/>
              <w:left w:w="0" w:type="dxa"/>
              <w:bottom w:w="0" w:type="dxa"/>
              <w:right w:w="0" w:type="dxa"/>
            </w:tcMar>
            <w:vAlign w:val="center"/>
          </w:tcPr>
          <w:p>
            <w:pPr>
              <w:pStyle w:val="TableContents"/>
              <w:bidi w:val="0"/>
              <w:spacing w:before="0" w:after="283"/>
              <w:jc w:val="right"/>
              <w:rPr/>
            </w:pPr>
            <w:r>
              <w:rPr>
                <w:color w:val="000000"/>
              </w:rPr>
              <w:t>           </w:t>
            </w:r>
            <w:r>
              <w:rPr>
                <w:rFonts w:ascii="Arial" w:hAnsi="Arial"/>
                <w:color w:val="000000"/>
                <w:sz w:val="20"/>
              </w:rPr>
              <w:t>9,417</w:t>
            </w:r>
            <w:r>
              <w:rPr>
                <w:rFonts w:ascii="Times New Roman" w:hAnsi="Times New Roman"/>
                <w:color w:val="000000"/>
                <w:sz w:val="20"/>
              </w:rPr>
              <w:t xml:space="preserve">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203" w:type="dxa"/>
            <w:tcBorders/>
            <w:tcMar>
              <w:top w:w="0" w:type="dxa"/>
              <w:left w:w="0" w:type="dxa"/>
              <w:bottom w:w="0" w:type="dxa"/>
              <w:right w:w="0" w:type="dxa"/>
            </w:tcMar>
            <w:vAlign w:val="center"/>
          </w:tcPr>
          <w:p>
            <w:pPr>
              <w:pStyle w:val="TableContents"/>
              <w:bidi w:val="0"/>
              <w:spacing w:before="0" w:after="283"/>
              <w:jc w:val="right"/>
              <w:rPr/>
            </w:pPr>
            <w:r>
              <w:rPr>
                <w:color w:val="000000"/>
              </w:rPr>
              <w:t>         </w:t>
            </w:r>
            <w:r>
              <w:rPr>
                <w:rFonts w:ascii="Arial" w:hAnsi="Arial"/>
                <w:color w:val="000000"/>
                <w:sz w:val="20"/>
              </w:rPr>
              <w:t>7,594</w:t>
            </w:r>
            <w:r>
              <w:rPr>
                <w:rFonts w:ascii="Times New Roman" w:hAnsi="Times New Roman"/>
                <w:color w:val="000000"/>
                <w:sz w:val="20"/>
              </w:rPr>
              <w:t xml:space="preserve"> </w:t>
            </w:r>
          </w:p>
        </w:tc>
      </w:tr>
      <w:tr>
        <w:trPr/>
        <w:tc>
          <w:tcPr>
            <w:tcW w:w="4640"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Other income (expense), net</w:t>
            </w:r>
          </w:p>
        </w:tc>
        <w:tc>
          <w:tcPr>
            <w:tcW w:w="13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              </w:t>
            </w:r>
            <w:r>
              <w:rPr>
                <w:rFonts w:ascii="Arial" w:hAnsi="Arial"/>
                <w:color w:val="000000"/>
                <w:sz w:val="20"/>
              </w:rPr>
              <w:t>(52)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2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              </w:t>
            </w:r>
            <w:r>
              <w:rPr>
                <w:rFonts w:ascii="Arial" w:hAnsi="Arial"/>
                <w:color w:val="000000"/>
                <w:sz w:val="20"/>
              </w:rPr>
              <w:t>(2)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3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              </w:t>
            </w:r>
            <w:r>
              <w:rPr>
                <w:rFonts w:ascii="Arial" w:hAnsi="Arial"/>
                <w:color w:val="000000"/>
                <w:sz w:val="20"/>
              </w:rPr>
              <w:t>(53)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2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            </w:t>
            </w:r>
            <w:r>
              <w:rPr>
                <w:rFonts w:ascii="Arial" w:hAnsi="Arial"/>
                <w:color w:val="000000"/>
                <w:sz w:val="20"/>
              </w:rPr>
              <w:t>(22)</w:t>
            </w:r>
          </w:p>
        </w:tc>
      </w:tr>
      <w:tr>
        <w:trPr/>
        <w:tc>
          <w:tcPr>
            <w:tcW w:w="4640"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Net loss and comprehensive loss</w:t>
            </w:r>
          </w:p>
        </w:tc>
        <w:tc>
          <w:tcPr>
            <w:tcW w:w="1348" w:type="dxa"/>
            <w:tcBorders/>
            <w:tcMar>
              <w:top w:w="0" w:type="dxa"/>
              <w:left w:w="0" w:type="dxa"/>
              <w:bottom w:w="0" w:type="dxa"/>
              <w:right w:w="0" w:type="dxa"/>
            </w:tcMar>
            <w:vAlign w:val="center"/>
          </w:tcPr>
          <w:p>
            <w:pPr>
              <w:pStyle w:val="TableContents"/>
              <w:bidi w:val="0"/>
              <w:spacing w:before="0" w:after="283"/>
              <w:jc w:val="right"/>
              <w:rPr>
                <w:color w:val="000000"/>
              </w:rPr>
            </w:pPr>
            <w:r>
              <w:rPr>
                <w:color w:val="000000"/>
              </w:rPr>
              <w:t>       </w:t>
            </w:r>
            <w:r>
              <w:rPr>
                <w:rFonts w:ascii="Arial" w:hAnsi="Arial"/>
                <w:color w:val="000000"/>
                <w:sz w:val="20"/>
              </w:rPr>
              <w:t>(88,409)</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228" w:type="dxa"/>
            <w:tcBorders/>
            <w:tcMar>
              <w:top w:w="0" w:type="dxa"/>
              <w:left w:w="0" w:type="dxa"/>
              <w:bottom w:w="0" w:type="dxa"/>
              <w:right w:w="0" w:type="dxa"/>
            </w:tcMar>
            <w:vAlign w:val="center"/>
          </w:tcPr>
          <w:p>
            <w:pPr>
              <w:pStyle w:val="TableContents"/>
              <w:bidi w:val="0"/>
              <w:spacing w:before="0" w:after="283"/>
              <w:jc w:val="right"/>
              <w:rPr>
                <w:color w:val="000000"/>
              </w:rPr>
            </w:pPr>
            <w:r>
              <w:rPr>
                <w:color w:val="000000"/>
              </w:rPr>
              <w:t>   </w:t>
            </w:r>
            <w:r>
              <w:rPr>
                <w:rFonts w:ascii="Arial" w:hAnsi="Arial"/>
                <w:color w:val="000000"/>
                <w:sz w:val="20"/>
              </w:rPr>
              <w:t>(105,211)</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348" w:type="dxa"/>
            <w:tcBorders/>
            <w:tcMar>
              <w:top w:w="0" w:type="dxa"/>
              <w:left w:w="0" w:type="dxa"/>
              <w:bottom w:w="0" w:type="dxa"/>
              <w:right w:w="0" w:type="dxa"/>
            </w:tcMar>
            <w:vAlign w:val="center"/>
          </w:tcPr>
          <w:p>
            <w:pPr>
              <w:pStyle w:val="TableContents"/>
              <w:bidi w:val="0"/>
              <w:spacing w:before="0" w:after="283"/>
              <w:jc w:val="right"/>
              <w:rPr>
                <w:color w:val="000000"/>
              </w:rPr>
            </w:pPr>
            <w:r>
              <w:rPr>
                <w:color w:val="000000"/>
              </w:rPr>
              <w:t>     </w:t>
            </w:r>
            <w:r>
              <w:rPr>
                <w:rFonts w:ascii="Arial" w:hAnsi="Arial"/>
                <w:color w:val="000000"/>
                <w:sz w:val="20"/>
              </w:rPr>
              <w:t>(171,367)</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203" w:type="dxa"/>
            <w:tcBorders/>
            <w:tcMar>
              <w:top w:w="0" w:type="dxa"/>
              <w:left w:w="0" w:type="dxa"/>
              <w:bottom w:w="0" w:type="dxa"/>
              <w:right w:w="0" w:type="dxa"/>
            </w:tcMar>
            <w:vAlign w:val="center"/>
          </w:tcPr>
          <w:p>
            <w:pPr>
              <w:pStyle w:val="TableContents"/>
              <w:bidi w:val="0"/>
              <w:spacing w:before="0" w:after="283"/>
              <w:jc w:val="right"/>
              <w:rPr>
                <w:color w:val="000000"/>
              </w:rPr>
            </w:pPr>
            <w:r>
              <w:rPr>
                <w:color w:val="000000"/>
              </w:rPr>
              <w:t>   </w:t>
            </w:r>
            <w:r>
              <w:rPr>
                <w:rFonts w:ascii="Arial" w:hAnsi="Arial"/>
                <w:color w:val="000000"/>
                <w:sz w:val="20"/>
              </w:rPr>
              <w:t>(173,454)</w:t>
            </w:r>
          </w:p>
        </w:tc>
      </w:tr>
      <w:tr>
        <w:trPr/>
        <w:tc>
          <w:tcPr>
            <w:tcW w:w="4640"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Impact of preferred stock extinguishments and modifications</w:t>
            </w:r>
          </w:p>
        </w:tc>
        <w:tc>
          <w:tcPr>
            <w:tcW w:w="134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 xml:space="preserve">                —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2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 xml:space="preserve">              —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34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 xml:space="preserve">                —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0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       </w:t>
            </w:r>
            <w:r>
              <w:rPr>
                <w:rFonts w:ascii="Arial" w:hAnsi="Arial"/>
                <w:color w:val="000000"/>
                <w:sz w:val="20"/>
              </w:rPr>
              <w:t>(9,396)</w:t>
            </w:r>
          </w:p>
        </w:tc>
      </w:tr>
      <w:tr>
        <w:trPr/>
        <w:tc>
          <w:tcPr>
            <w:tcW w:w="4640"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Net loss attributable to common stockholders</w:t>
            </w:r>
          </w:p>
        </w:tc>
        <w:tc>
          <w:tcPr>
            <w:tcW w:w="1348" w:type="dxa"/>
            <w:tcBorders>
              <w:top w:val="single" w:sz="4" w:space="0" w:color="000000"/>
              <w:bottom w:val="double" w:sz="6" w:space="0" w:color="000000"/>
            </w:tcBorders>
            <w:tcMar>
              <w:left w:w="0" w:type="dxa"/>
              <w:right w:w="0" w:type="dxa"/>
            </w:tcMar>
            <w:vAlign w:val="center"/>
          </w:tcPr>
          <w:p>
            <w:pPr>
              <w:pStyle w:val="TableContents"/>
              <w:bidi w:val="0"/>
              <w:spacing w:before="0" w:after="283"/>
              <w:jc w:val="right"/>
              <w:rPr>
                <w:color w:val="000000"/>
              </w:rPr>
            </w:pPr>
            <w:r>
              <w:rPr>
                <w:color w:val="000000"/>
              </w:rPr>
              <w:t> </w:t>
            </w:r>
            <w:r>
              <w:rPr>
                <w:rFonts w:ascii="Arial" w:hAnsi="Arial"/>
                <w:color w:val="000000"/>
                <w:sz w:val="20"/>
              </w:rPr>
              <w:t>$ (88,409)</w:t>
            </w:r>
          </w:p>
        </w:tc>
        <w:tc>
          <w:tcPr>
            <w:tcW w:w="146" w:type="dxa"/>
            <w:tcBorders>
              <w:top w:val="single" w:sz="4" w:space="0" w:color="000000"/>
            </w:tcBorders>
            <w:tcMar>
              <w:left w:w="0" w:type="dxa"/>
              <w:bottom w:w="0" w:type="dxa"/>
              <w:right w:w="0" w:type="dxa"/>
            </w:tcMar>
            <w:vAlign w:val="center"/>
          </w:tcPr>
          <w:p>
            <w:pPr>
              <w:pStyle w:val="TableContents"/>
              <w:bidi w:val="0"/>
              <w:spacing w:before="0" w:after="283"/>
              <w:jc w:val="right"/>
              <w:rPr/>
            </w:pPr>
            <w:r>
              <w:rPr/>
              <w:t> </w:t>
            </w:r>
          </w:p>
        </w:tc>
        <w:tc>
          <w:tcPr>
            <w:tcW w:w="1228" w:type="dxa"/>
            <w:tcBorders>
              <w:top w:val="single" w:sz="4" w:space="0" w:color="000000"/>
              <w:bottom w:val="double" w:sz="6" w:space="0" w:color="000000"/>
            </w:tcBorders>
            <w:tcMar>
              <w:left w:w="0" w:type="dxa"/>
              <w:right w:w="0" w:type="dxa"/>
            </w:tcMar>
            <w:vAlign w:val="center"/>
          </w:tcPr>
          <w:p>
            <w:pPr>
              <w:pStyle w:val="TableContents"/>
              <w:bidi w:val="0"/>
              <w:spacing w:before="0" w:after="283"/>
              <w:jc w:val="right"/>
              <w:rPr>
                <w:color w:val="000000"/>
              </w:rPr>
            </w:pPr>
            <w:r>
              <w:rPr>
                <w:color w:val="000000"/>
              </w:rPr>
              <w:t> </w:t>
            </w:r>
            <w:r>
              <w:rPr>
                <w:rFonts w:ascii="Arial" w:hAnsi="Arial"/>
                <w:color w:val="000000"/>
                <w:sz w:val="20"/>
              </w:rPr>
              <w:t>$(105,211)</w:t>
            </w:r>
          </w:p>
        </w:tc>
        <w:tc>
          <w:tcPr>
            <w:tcW w:w="146" w:type="dxa"/>
            <w:tcBorders>
              <w:top w:val="single" w:sz="4" w:space="0" w:color="000000"/>
            </w:tcBorders>
            <w:tcMar>
              <w:left w:w="0" w:type="dxa"/>
              <w:bottom w:w="0" w:type="dxa"/>
              <w:right w:w="0" w:type="dxa"/>
            </w:tcMar>
            <w:vAlign w:val="center"/>
          </w:tcPr>
          <w:p>
            <w:pPr>
              <w:pStyle w:val="TableContents"/>
              <w:bidi w:val="0"/>
              <w:spacing w:before="0" w:after="283"/>
              <w:jc w:val="right"/>
              <w:rPr/>
            </w:pPr>
            <w:r>
              <w:rPr/>
              <w:t> </w:t>
            </w:r>
          </w:p>
        </w:tc>
        <w:tc>
          <w:tcPr>
            <w:tcW w:w="1348" w:type="dxa"/>
            <w:tcBorders>
              <w:top w:val="single" w:sz="4" w:space="0" w:color="000000"/>
              <w:bottom w:val="double" w:sz="6" w:space="0" w:color="000000"/>
            </w:tcBorders>
            <w:tcMar>
              <w:left w:w="0" w:type="dxa"/>
              <w:right w:w="0" w:type="dxa"/>
            </w:tcMar>
            <w:vAlign w:val="center"/>
          </w:tcPr>
          <w:p>
            <w:pPr>
              <w:pStyle w:val="TableContents"/>
              <w:bidi w:val="0"/>
              <w:spacing w:before="0" w:after="283"/>
              <w:jc w:val="right"/>
              <w:rPr>
                <w:color w:val="000000"/>
              </w:rPr>
            </w:pPr>
            <w:r>
              <w:rPr>
                <w:color w:val="000000"/>
              </w:rPr>
              <w:t> </w:t>
            </w:r>
            <w:r>
              <w:rPr>
                <w:rFonts w:ascii="Arial" w:hAnsi="Arial"/>
                <w:color w:val="000000"/>
                <w:sz w:val="20"/>
              </w:rPr>
              <w:t>$ (171,367)</w:t>
            </w:r>
          </w:p>
        </w:tc>
        <w:tc>
          <w:tcPr>
            <w:tcW w:w="146" w:type="dxa"/>
            <w:tcBorders>
              <w:top w:val="single" w:sz="4" w:space="0" w:color="000000"/>
            </w:tcBorders>
            <w:tcMar>
              <w:left w:w="0" w:type="dxa"/>
              <w:bottom w:w="0" w:type="dxa"/>
              <w:right w:w="0" w:type="dxa"/>
            </w:tcMar>
            <w:vAlign w:val="center"/>
          </w:tcPr>
          <w:p>
            <w:pPr>
              <w:pStyle w:val="TableContents"/>
              <w:bidi w:val="0"/>
              <w:spacing w:before="0" w:after="283"/>
              <w:jc w:val="right"/>
              <w:rPr/>
            </w:pPr>
            <w:r>
              <w:rPr/>
              <w:t> </w:t>
            </w:r>
          </w:p>
        </w:tc>
        <w:tc>
          <w:tcPr>
            <w:tcW w:w="1203" w:type="dxa"/>
            <w:tcBorders>
              <w:top w:val="single" w:sz="4" w:space="0" w:color="000000"/>
              <w:bottom w:val="double" w:sz="6" w:space="0" w:color="000000"/>
            </w:tcBorders>
            <w:tcMar>
              <w:left w:w="0" w:type="dxa"/>
              <w:right w:w="0" w:type="dxa"/>
            </w:tcMar>
            <w:vAlign w:val="center"/>
          </w:tcPr>
          <w:p>
            <w:pPr>
              <w:pStyle w:val="TableContents"/>
              <w:bidi w:val="0"/>
              <w:spacing w:before="0" w:after="283"/>
              <w:jc w:val="right"/>
              <w:rPr>
                <w:color w:val="000000"/>
              </w:rPr>
            </w:pPr>
            <w:r>
              <w:rPr>
                <w:color w:val="000000"/>
              </w:rPr>
              <w:t> </w:t>
            </w:r>
            <w:r>
              <w:rPr>
                <w:rFonts w:ascii="Arial" w:hAnsi="Arial"/>
                <w:color w:val="000000"/>
                <w:sz w:val="20"/>
              </w:rPr>
              <w:t>$(182,850)</w:t>
            </w:r>
          </w:p>
        </w:tc>
      </w:tr>
      <w:tr>
        <w:trPr/>
        <w:tc>
          <w:tcPr>
            <w:tcW w:w="4640"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Net loss per share attributable to common stockholders, basic and</w:t>
              <w:br/>
              <w:t>   diluted</w:t>
            </w:r>
          </w:p>
        </w:tc>
        <w:tc>
          <w:tcPr>
            <w:tcW w:w="134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 </w:t>
            </w:r>
            <w:r>
              <w:rPr>
                <w:rFonts w:ascii="Arial" w:hAnsi="Arial"/>
                <w:color w:val="000000"/>
                <w:sz w:val="20"/>
              </w:rPr>
              <w:t>$ (1.63)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22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 </w:t>
            </w:r>
            <w:r>
              <w:rPr>
                <w:rFonts w:ascii="Arial" w:hAnsi="Arial"/>
                <w:color w:val="000000"/>
                <w:sz w:val="20"/>
              </w:rPr>
              <w:t>$ (36.94)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34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 </w:t>
            </w:r>
            <w:r>
              <w:rPr>
                <w:rFonts w:ascii="Arial" w:hAnsi="Arial"/>
                <w:color w:val="000000"/>
                <w:sz w:val="20"/>
              </w:rPr>
              <w:t>$ (3.90)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20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 </w:t>
            </w:r>
            <w:r>
              <w:rPr>
                <w:rFonts w:ascii="Arial" w:hAnsi="Arial"/>
                <w:color w:val="000000"/>
                <w:sz w:val="20"/>
              </w:rPr>
              <w:t>$ (65.08)</w:t>
            </w:r>
          </w:p>
        </w:tc>
      </w:tr>
      <w:tr>
        <w:trPr/>
        <w:tc>
          <w:tcPr>
            <w:tcW w:w="4640"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Weighted-average shares of common stock outstanding used in</w:t>
              <w:br/>
              <w:t>   computing net loss per share attributable to common</w:t>
              <w:br/>
              <w:t>   stockholders, basic and diluted</w:t>
            </w:r>
          </w:p>
        </w:tc>
        <w:tc>
          <w:tcPr>
            <w:tcW w:w="1348" w:type="dxa"/>
            <w:tcBorders>
              <w:bottom w:val="double" w:sz="6" w:space="0" w:color="000000"/>
            </w:tcBorders>
            <w:tcMar>
              <w:top w:w="0" w:type="dxa"/>
              <w:left w:w="0" w:type="dxa"/>
              <w:right w:w="0" w:type="dxa"/>
            </w:tcMar>
            <w:vAlign w:val="center"/>
          </w:tcPr>
          <w:p>
            <w:pPr>
              <w:pStyle w:val="TableContents"/>
              <w:bidi w:val="0"/>
              <w:spacing w:before="0" w:after="283"/>
              <w:jc w:val="right"/>
              <w:rPr/>
            </w:pPr>
            <w:r>
              <w:rPr>
                <w:color w:val="000000"/>
              </w:rPr>
              <w:t>  </w:t>
            </w:r>
            <w:r>
              <w:rPr>
                <w:rFonts w:ascii="Arial" w:hAnsi="Arial"/>
                <w:color w:val="000000"/>
                <w:sz w:val="20"/>
              </w:rPr>
              <w:t>54,143,162</w:t>
            </w:r>
            <w:r>
              <w:rPr>
                <w:rFonts w:ascii="Times New Roman" w:hAnsi="Times New Roman"/>
                <w:color w:val="000000"/>
                <w:sz w:val="20"/>
              </w:rPr>
              <w:t xml:space="preserve"> </w:t>
            </w:r>
          </w:p>
        </w:tc>
        <w:tc>
          <w:tcPr>
            <w:tcW w:w="146" w:type="dxa"/>
            <w:tcBorders>
              <w:bottom w:val="double" w:sz="6" w:space="0" w:color="000000"/>
            </w:tcBorders>
            <w:tcMar>
              <w:top w:w="0" w:type="dxa"/>
              <w:left w:w="0" w:type="dxa"/>
              <w:right w:w="0" w:type="dxa"/>
            </w:tcMar>
            <w:vAlign w:val="center"/>
          </w:tcPr>
          <w:p>
            <w:pPr>
              <w:pStyle w:val="TableContents"/>
              <w:bidi w:val="0"/>
              <w:spacing w:before="0" w:after="283"/>
              <w:jc w:val="right"/>
              <w:rPr/>
            </w:pPr>
            <w:r>
              <w:rPr/>
              <w:t> </w:t>
            </w:r>
          </w:p>
        </w:tc>
        <w:tc>
          <w:tcPr>
            <w:tcW w:w="1228" w:type="dxa"/>
            <w:tcBorders>
              <w:bottom w:val="double" w:sz="6" w:space="0" w:color="000000"/>
            </w:tcBorders>
            <w:tcMar>
              <w:top w:w="0" w:type="dxa"/>
              <w:left w:w="0" w:type="dxa"/>
              <w:right w:w="0" w:type="dxa"/>
            </w:tcMar>
            <w:vAlign w:val="center"/>
          </w:tcPr>
          <w:p>
            <w:pPr>
              <w:pStyle w:val="TableContents"/>
              <w:bidi w:val="0"/>
              <w:spacing w:before="0" w:after="283"/>
              <w:jc w:val="right"/>
              <w:rPr/>
            </w:pPr>
            <w:r>
              <w:rPr>
                <w:color w:val="000000"/>
              </w:rPr>
              <w:t>  </w:t>
            </w:r>
            <w:r>
              <w:rPr>
                <w:rFonts w:ascii="Arial" w:hAnsi="Arial"/>
                <w:color w:val="000000"/>
                <w:sz w:val="20"/>
              </w:rPr>
              <w:t>2,848,529</w:t>
            </w:r>
            <w:r>
              <w:rPr>
                <w:rFonts w:ascii="Times New Roman" w:hAnsi="Times New Roman"/>
                <w:color w:val="000000"/>
                <w:sz w:val="20"/>
              </w:rPr>
              <w:t xml:space="preserve"> </w:t>
            </w:r>
          </w:p>
        </w:tc>
        <w:tc>
          <w:tcPr>
            <w:tcW w:w="146" w:type="dxa"/>
            <w:tcBorders>
              <w:bottom w:val="double" w:sz="6" w:space="0" w:color="000000"/>
            </w:tcBorders>
            <w:tcMar>
              <w:top w:w="0" w:type="dxa"/>
              <w:left w:w="0" w:type="dxa"/>
              <w:right w:w="0" w:type="dxa"/>
            </w:tcMar>
            <w:vAlign w:val="center"/>
          </w:tcPr>
          <w:p>
            <w:pPr>
              <w:pStyle w:val="TableContents"/>
              <w:bidi w:val="0"/>
              <w:spacing w:before="0" w:after="283"/>
              <w:jc w:val="right"/>
              <w:rPr/>
            </w:pPr>
            <w:r>
              <w:rPr/>
              <w:t> </w:t>
            </w:r>
          </w:p>
        </w:tc>
        <w:tc>
          <w:tcPr>
            <w:tcW w:w="1348" w:type="dxa"/>
            <w:tcBorders>
              <w:bottom w:val="double" w:sz="6" w:space="0" w:color="000000"/>
            </w:tcBorders>
            <w:tcMar>
              <w:top w:w="0" w:type="dxa"/>
              <w:left w:w="0" w:type="dxa"/>
              <w:right w:w="0" w:type="dxa"/>
            </w:tcMar>
            <w:vAlign w:val="center"/>
          </w:tcPr>
          <w:p>
            <w:pPr>
              <w:pStyle w:val="TableContents"/>
              <w:bidi w:val="0"/>
              <w:spacing w:before="0" w:after="283"/>
              <w:jc w:val="right"/>
              <w:rPr/>
            </w:pPr>
            <w:r>
              <w:rPr>
                <w:color w:val="000000"/>
              </w:rPr>
              <w:t>  </w:t>
            </w:r>
            <w:r>
              <w:rPr>
                <w:rFonts w:ascii="Arial" w:hAnsi="Arial"/>
                <w:color w:val="000000"/>
                <w:sz w:val="20"/>
              </w:rPr>
              <w:t>43,978,373</w:t>
            </w:r>
            <w:r>
              <w:rPr>
                <w:rFonts w:ascii="Times New Roman" w:hAnsi="Times New Roman"/>
                <w:color w:val="000000"/>
                <w:sz w:val="20"/>
              </w:rPr>
              <w:t xml:space="preserve"> </w:t>
            </w:r>
          </w:p>
        </w:tc>
        <w:tc>
          <w:tcPr>
            <w:tcW w:w="146" w:type="dxa"/>
            <w:tcBorders>
              <w:bottom w:val="double" w:sz="6" w:space="0" w:color="000000"/>
            </w:tcBorders>
            <w:tcMar>
              <w:top w:w="0" w:type="dxa"/>
              <w:left w:w="0" w:type="dxa"/>
              <w:right w:w="0" w:type="dxa"/>
            </w:tcMar>
            <w:vAlign w:val="center"/>
          </w:tcPr>
          <w:p>
            <w:pPr>
              <w:pStyle w:val="TableContents"/>
              <w:bidi w:val="0"/>
              <w:spacing w:before="0" w:after="283"/>
              <w:jc w:val="right"/>
              <w:rPr/>
            </w:pPr>
            <w:r>
              <w:rPr/>
              <w:t> </w:t>
            </w:r>
          </w:p>
        </w:tc>
        <w:tc>
          <w:tcPr>
            <w:tcW w:w="1203" w:type="dxa"/>
            <w:tcBorders>
              <w:bottom w:val="double" w:sz="6" w:space="0" w:color="000000"/>
            </w:tcBorders>
            <w:tcMar>
              <w:top w:w="0" w:type="dxa"/>
              <w:left w:w="0" w:type="dxa"/>
              <w:right w:w="0" w:type="dxa"/>
            </w:tcMar>
            <w:vAlign w:val="center"/>
          </w:tcPr>
          <w:p>
            <w:pPr>
              <w:pStyle w:val="TableContents"/>
              <w:bidi w:val="0"/>
              <w:spacing w:before="0" w:after="283"/>
              <w:jc w:val="right"/>
              <w:rPr/>
            </w:pPr>
            <w:r>
              <w:rPr>
                <w:color w:val="000000"/>
              </w:rPr>
              <w:t>  </w:t>
            </w:r>
            <w:r>
              <w:rPr>
                <w:rFonts w:ascii="Arial" w:hAnsi="Arial"/>
                <w:color w:val="000000"/>
                <w:sz w:val="20"/>
              </w:rPr>
              <w:t>2,809,691</w:t>
            </w:r>
            <w:r>
              <w:rPr>
                <w:rFonts w:ascii="Times New Roman" w:hAnsi="Times New Roman"/>
                <w:color w:val="000000"/>
                <w:sz w:val="20"/>
              </w:rPr>
              <w:t xml:space="preserve"> </w:t>
            </w:r>
          </w:p>
        </w:tc>
      </w:tr>
    </w:tbl>
    <w:p>
      <w:pPr>
        <w:pStyle w:val="TextBody"/>
        <w:bidi w:val="0"/>
        <w:jc w:val="left"/>
        <w:rPr/>
      </w:pPr>
      <w:r>
        <w:rPr/>
        <w:t> </w:t>
      </w:r>
    </w:p>
    <w:p>
      <w:pPr>
        <w:pStyle w:val="TextBody"/>
        <w:bidi w:val="0"/>
        <w:jc w:val="center"/>
        <w:rPr>
          <w:rFonts w:ascii="Arial" w:hAnsi="Arial"/>
          <w:b/>
          <w:color w:val="000000"/>
          <w:sz w:val="24"/>
        </w:rPr>
      </w:pPr>
      <w:r>
        <w:rPr>
          <w:rFonts w:ascii="Arial" w:hAnsi="Arial"/>
          <w:b/>
          <w:color w:val="000000"/>
          <w:sz w:val="24"/>
        </w:rPr>
        <w:t>Eikon Therapeutics, Inc.</w:t>
      </w:r>
    </w:p>
    <w:p>
      <w:pPr>
        <w:pStyle w:val="TextBody"/>
        <w:bidi w:val="0"/>
        <w:jc w:val="center"/>
        <w:rPr>
          <w:rFonts w:ascii="Arial" w:hAnsi="Arial"/>
          <w:b/>
          <w:color w:val="000000"/>
          <w:sz w:val="24"/>
        </w:rPr>
      </w:pPr>
      <w:r>
        <w:rPr>
          <w:rFonts w:ascii="Arial" w:hAnsi="Arial"/>
          <w:b/>
          <w:color w:val="000000"/>
          <w:sz w:val="24"/>
        </w:rPr>
        <w:t>Condensed Balance Sheet Data</w:t>
      </w:r>
    </w:p>
    <w:p>
      <w:pPr>
        <w:pStyle w:val="TextBody"/>
        <w:bidi w:val="0"/>
        <w:jc w:val="center"/>
        <w:rPr>
          <w:rFonts w:ascii="Arial" w:hAnsi="Arial"/>
          <w:b/>
          <w:color w:val="000000"/>
          <w:sz w:val="24"/>
        </w:rPr>
      </w:pPr>
      <w:r>
        <w:rPr>
          <w:rFonts w:ascii="Arial" w:hAnsi="Arial"/>
          <w:b/>
          <w:color w:val="000000"/>
          <w:sz w:val="24"/>
        </w:rPr>
        <w:t>(in thousands)</w:t>
      </w:r>
    </w:p>
    <w:p>
      <w:pPr>
        <w:pStyle w:val="TextBody"/>
        <w:bidi w:val="0"/>
        <w:jc w:val="center"/>
        <w:rPr>
          <w:rFonts w:ascii="Arial" w:hAnsi="Arial"/>
          <w:b/>
          <w:color w:val="000000"/>
          <w:sz w:val="24"/>
        </w:rPr>
      </w:pPr>
      <w:r>
        <w:rPr>
          <w:rFonts w:ascii="Arial" w:hAnsi="Arial"/>
          <w:b/>
          <w:color w:val="000000"/>
          <w:sz w:val="24"/>
        </w:rPr>
        <w:t>(Unaudited)</w:t>
      </w:r>
    </w:p>
    <w:tbl>
      <w:tblPr>
        <w:tblW w:w="8849" w:type="dxa"/>
        <w:jc w:val="left"/>
        <w:tblInd w:w="0" w:type="dxa"/>
        <w:tblLayout w:type="fixed"/>
        <w:tblCellMar>
          <w:top w:w="28" w:type="dxa"/>
          <w:left w:w="28" w:type="dxa"/>
          <w:bottom w:w="28" w:type="dxa"/>
          <w:right w:w="28" w:type="dxa"/>
        </w:tblCellMar>
      </w:tblPr>
      <w:tblGrid>
        <w:gridCol w:w="4456"/>
        <w:gridCol w:w="2101"/>
        <w:gridCol w:w="146"/>
        <w:gridCol w:w="2146"/>
      </w:tblGrid>
      <w:tr>
        <w:trPr/>
        <w:tc>
          <w:tcPr>
            <w:tcW w:w="4456" w:type="dxa"/>
            <w:tcBorders/>
            <w:vAlign w:val="center"/>
          </w:tcPr>
          <w:p>
            <w:pPr>
              <w:pStyle w:val="TableContents"/>
              <w:bidi w:val="0"/>
              <w:spacing w:before="0" w:after="283"/>
              <w:jc w:val="left"/>
              <w:rPr>
                <w:sz w:val="4"/>
                <w:szCs w:val="4"/>
              </w:rPr>
            </w:pPr>
            <w:r>
              <w:rPr>
                <w:sz w:val="4"/>
                <w:szCs w:val="4"/>
              </w:rPr>
            </w:r>
          </w:p>
        </w:tc>
        <w:tc>
          <w:tcPr>
            <w:tcW w:w="21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46" w:type="dxa"/>
            <w:tcBorders/>
            <w:vAlign w:val="center"/>
          </w:tcPr>
          <w:p>
            <w:pPr>
              <w:pStyle w:val="TableContents"/>
              <w:bidi w:val="0"/>
              <w:spacing w:before="0" w:after="283"/>
              <w:jc w:val="left"/>
              <w:rPr>
                <w:sz w:val="4"/>
                <w:szCs w:val="4"/>
              </w:rPr>
            </w:pPr>
            <w:r>
              <w:rPr>
                <w:sz w:val="4"/>
                <w:szCs w:val="4"/>
              </w:rPr>
            </w:r>
          </w:p>
        </w:tc>
      </w:tr>
      <w:tr>
        <w:trPr/>
        <w:tc>
          <w:tcPr>
            <w:tcW w:w="4456" w:type="dxa"/>
            <w:tcBorders/>
            <w:tcMar>
              <w:top w:w="0" w:type="dxa"/>
              <w:left w:w="0" w:type="dxa"/>
              <w:bottom w:w="0" w:type="dxa"/>
              <w:right w:w="0" w:type="dxa"/>
            </w:tcMar>
            <w:vAlign w:val="center"/>
          </w:tcPr>
          <w:p>
            <w:pPr>
              <w:pStyle w:val="TableContents"/>
              <w:bidi w:val="0"/>
              <w:spacing w:before="0" w:after="283"/>
              <w:jc w:val="left"/>
              <w:rPr/>
            </w:pPr>
            <w:r>
              <w:rPr/>
              <w:t> </w:t>
            </w:r>
          </w:p>
        </w:tc>
        <w:tc>
          <w:tcPr>
            <w:tcW w:w="4393" w:type="dxa"/>
            <w:gridSpan w:val="3"/>
            <w:tcBorders/>
            <w:tcMar>
              <w:top w:w="0" w:type="dxa"/>
              <w:left w:w="0" w:type="dxa"/>
              <w:bottom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(in thousands)</w:t>
            </w:r>
          </w:p>
        </w:tc>
      </w:tr>
      <w:tr>
        <w:trPr/>
        <w:tc>
          <w:tcPr>
            <w:tcW w:w="4456" w:type="dxa"/>
            <w:tcBorders/>
            <w:tcMar>
              <w:top w:w="0" w:type="dxa"/>
              <w:left w:w="0" w:type="dxa"/>
              <w:bottom w:w="0" w:type="dxa"/>
              <w:right w:w="0" w:type="dxa"/>
            </w:tcMar>
            <w:vAlign w:val="center"/>
          </w:tcPr>
          <w:p>
            <w:pPr>
              <w:pStyle w:val="TableContents"/>
              <w:bidi w:val="0"/>
              <w:spacing w:before="0" w:after="283"/>
              <w:jc w:val="center"/>
              <w:rPr/>
            </w:pPr>
            <w:r>
              <w:rPr/>
              <w:t> </w:t>
            </w:r>
          </w:p>
        </w:tc>
        <w:tc>
          <w:tcPr>
            <w:tcW w:w="210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June 30,</w:t>
              <w:br/>
              <w:t>2026</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214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December 31,</w:t>
              <w:br/>
              <w:t>2025</w:t>
            </w:r>
          </w:p>
        </w:tc>
      </w:tr>
      <w:tr>
        <w:trPr/>
        <w:tc>
          <w:tcPr>
            <w:tcW w:w="445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Cash, cash equivalents and marketable securities</w:t>
            </w:r>
          </w:p>
        </w:tc>
        <w:tc>
          <w:tcPr>
            <w:tcW w:w="2101" w:type="dxa"/>
            <w:tcBorders/>
            <w:shd w:fill="CFF0FC" w:val="clear"/>
            <w:tcMar>
              <w:top w:w="0" w:type="dxa"/>
              <w:left w:w="0" w:type="dxa"/>
              <w:bottom w:w="0" w:type="dxa"/>
              <w:right w:w="0" w:type="dxa"/>
            </w:tcMar>
            <w:vAlign w:val="center"/>
          </w:tcPr>
          <w:p>
            <w:pPr>
              <w:pStyle w:val="TableContents"/>
              <w:bidi w:val="0"/>
              <w:spacing w:before="0" w:after="283"/>
              <w:jc w:val="right"/>
              <w:rPr/>
            </w:pPr>
            <w:r>
              <w:rPr>
                <w:color w:val="000000"/>
              </w:rPr>
              <w:t> </w:t>
            </w:r>
            <w:r>
              <w:rPr>
                <w:rFonts w:ascii="Arial" w:hAnsi="Arial"/>
                <w:color w:val="000000"/>
                <w:sz w:val="20"/>
              </w:rPr>
              <w:t>$ 531,178</w:t>
            </w:r>
            <w:r>
              <w:rPr>
                <w:rFonts w:ascii="Times New Roman" w:hAnsi="Times New Roman"/>
                <w:color w:val="000000"/>
                <w:sz w:val="20"/>
              </w:rPr>
              <w:t xml:space="preserve">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46" w:type="dxa"/>
            <w:tcBorders/>
            <w:shd w:fill="CFF0FC" w:val="clear"/>
            <w:tcMar>
              <w:top w:w="0" w:type="dxa"/>
              <w:left w:w="0" w:type="dxa"/>
              <w:bottom w:w="0" w:type="dxa"/>
              <w:right w:w="0" w:type="dxa"/>
            </w:tcMar>
            <w:vAlign w:val="center"/>
          </w:tcPr>
          <w:p>
            <w:pPr>
              <w:pStyle w:val="TableContents"/>
              <w:bidi w:val="0"/>
              <w:spacing w:before="0" w:after="283"/>
              <w:jc w:val="right"/>
              <w:rPr/>
            </w:pPr>
            <w:r>
              <w:rPr>
                <w:color w:val="000000"/>
              </w:rPr>
              <w:t> </w:t>
            </w:r>
            <w:r>
              <w:rPr>
                <w:rFonts w:ascii="Arial" w:hAnsi="Arial"/>
                <w:color w:val="000000"/>
                <w:sz w:val="20"/>
              </w:rPr>
              <w:t>$ 335,975</w:t>
            </w:r>
            <w:r>
              <w:rPr>
                <w:rFonts w:ascii="Times New Roman" w:hAnsi="Times New Roman"/>
                <w:color w:val="000000"/>
                <w:sz w:val="20"/>
              </w:rPr>
              <w:t xml:space="preserve"> </w:t>
            </w:r>
          </w:p>
        </w:tc>
      </w:tr>
      <w:tr>
        <w:trPr/>
        <w:tc>
          <w:tcPr>
            <w:tcW w:w="445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Total assets</w:t>
            </w:r>
          </w:p>
        </w:tc>
        <w:tc>
          <w:tcPr>
            <w:tcW w:w="2101" w:type="dxa"/>
            <w:tcBorders/>
            <w:tcMar>
              <w:top w:w="0" w:type="dxa"/>
              <w:left w:w="0" w:type="dxa"/>
              <w:bottom w:w="0" w:type="dxa"/>
              <w:right w:w="0" w:type="dxa"/>
            </w:tcMar>
            <w:vAlign w:val="center"/>
          </w:tcPr>
          <w:p>
            <w:pPr>
              <w:pStyle w:val="TableContents"/>
              <w:bidi w:val="0"/>
              <w:spacing w:before="0" w:after="283"/>
              <w:jc w:val="right"/>
              <w:rPr/>
            </w:pPr>
            <w:r>
              <w:rPr>
                <w:color w:val="000000"/>
              </w:rPr>
              <w:t>                     </w:t>
            </w:r>
            <w:r>
              <w:rPr>
                <w:rFonts w:ascii="Arial" w:hAnsi="Arial"/>
                <w:color w:val="000000"/>
                <w:sz w:val="20"/>
              </w:rPr>
              <w:t>779,570</w:t>
            </w:r>
            <w:r>
              <w:rPr>
                <w:rFonts w:ascii="Times New Roman" w:hAnsi="Times New Roman"/>
                <w:color w:val="000000"/>
                <w:sz w:val="20"/>
              </w:rPr>
              <w:t xml:space="preserve">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2146" w:type="dxa"/>
            <w:tcBorders/>
            <w:tcMar>
              <w:top w:w="0" w:type="dxa"/>
              <w:left w:w="0" w:type="dxa"/>
              <w:bottom w:w="0" w:type="dxa"/>
              <w:right w:w="0" w:type="dxa"/>
            </w:tcMar>
            <w:vAlign w:val="center"/>
          </w:tcPr>
          <w:p>
            <w:pPr>
              <w:pStyle w:val="TableContents"/>
              <w:bidi w:val="0"/>
              <w:spacing w:before="0" w:after="283"/>
              <w:jc w:val="right"/>
              <w:rPr/>
            </w:pPr>
            <w:r>
              <w:rPr>
                <w:color w:val="000000"/>
              </w:rPr>
              <w:t>                     </w:t>
            </w:r>
            <w:r>
              <w:rPr>
                <w:rFonts w:ascii="Arial" w:hAnsi="Arial"/>
                <w:color w:val="000000"/>
                <w:sz w:val="20"/>
              </w:rPr>
              <w:t>594,734</w:t>
            </w:r>
            <w:r>
              <w:rPr>
                <w:rFonts w:ascii="Times New Roman" w:hAnsi="Times New Roman"/>
                <w:color w:val="000000"/>
                <w:sz w:val="20"/>
              </w:rPr>
              <w:t xml:space="preserve"> </w:t>
            </w:r>
          </w:p>
        </w:tc>
      </w:tr>
      <w:tr>
        <w:trPr/>
        <w:tc>
          <w:tcPr>
            <w:tcW w:w="445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Total liabilities</w:t>
            </w:r>
          </w:p>
        </w:tc>
        <w:tc>
          <w:tcPr>
            <w:tcW w:w="2101" w:type="dxa"/>
            <w:tcBorders/>
            <w:shd w:fill="CFF0FC" w:val="clear"/>
            <w:tcMar>
              <w:top w:w="0" w:type="dxa"/>
              <w:left w:w="0" w:type="dxa"/>
              <w:bottom w:w="0" w:type="dxa"/>
              <w:right w:w="0" w:type="dxa"/>
            </w:tcMar>
            <w:vAlign w:val="center"/>
          </w:tcPr>
          <w:p>
            <w:pPr>
              <w:pStyle w:val="TableContents"/>
              <w:bidi w:val="0"/>
              <w:spacing w:before="0" w:after="283"/>
              <w:jc w:val="right"/>
              <w:rPr/>
            </w:pPr>
            <w:r>
              <w:rPr>
                <w:color w:val="000000"/>
              </w:rPr>
              <w:t>                     </w:t>
            </w:r>
            <w:r>
              <w:rPr>
                <w:rFonts w:ascii="Arial" w:hAnsi="Arial"/>
                <w:color w:val="000000"/>
                <w:sz w:val="20"/>
              </w:rPr>
              <w:t>313,070</w:t>
            </w:r>
            <w:r>
              <w:rPr>
                <w:rFonts w:ascii="Times New Roman" w:hAnsi="Times New Roman"/>
                <w:color w:val="000000"/>
                <w:sz w:val="20"/>
              </w:rPr>
              <w:t xml:space="preserve">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46" w:type="dxa"/>
            <w:tcBorders/>
            <w:shd w:fill="CFF0FC" w:val="clear"/>
            <w:tcMar>
              <w:top w:w="0" w:type="dxa"/>
              <w:left w:w="0" w:type="dxa"/>
              <w:bottom w:w="0" w:type="dxa"/>
              <w:right w:w="0" w:type="dxa"/>
            </w:tcMar>
            <w:vAlign w:val="center"/>
          </w:tcPr>
          <w:p>
            <w:pPr>
              <w:pStyle w:val="TableContents"/>
              <w:bidi w:val="0"/>
              <w:spacing w:before="0" w:after="283"/>
              <w:jc w:val="right"/>
              <w:rPr/>
            </w:pPr>
            <w:r>
              <w:rPr>
                <w:color w:val="000000"/>
              </w:rPr>
              <w:t>                     </w:t>
            </w:r>
            <w:r>
              <w:rPr>
                <w:rFonts w:ascii="Arial" w:hAnsi="Arial"/>
                <w:color w:val="000000"/>
                <w:sz w:val="20"/>
              </w:rPr>
              <w:t>312,298</w:t>
            </w:r>
            <w:r>
              <w:rPr>
                <w:rFonts w:ascii="Times New Roman" w:hAnsi="Times New Roman"/>
                <w:color w:val="000000"/>
                <w:sz w:val="20"/>
              </w:rPr>
              <w:t xml:space="preserve"> </w:t>
            </w:r>
          </w:p>
        </w:tc>
      </w:tr>
      <w:tr>
        <w:trPr/>
        <w:tc>
          <w:tcPr>
            <w:tcW w:w="445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Total stockholders’ equity (deficit)</w:t>
            </w:r>
          </w:p>
        </w:tc>
        <w:tc>
          <w:tcPr>
            <w:tcW w:w="2101" w:type="dxa"/>
            <w:tcBorders/>
            <w:tcMar>
              <w:top w:w="0" w:type="dxa"/>
              <w:left w:w="0" w:type="dxa"/>
              <w:bottom w:w="0" w:type="dxa"/>
              <w:right w:w="0" w:type="dxa"/>
            </w:tcMar>
            <w:vAlign w:val="center"/>
          </w:tcPr>
          <w:p>
            <w:pPr>
              <w:pStyle w:val="TableContents"/>
              <w:bidi w:val="0"/>
              <w:spacing w:before="0" w:after="283"/>
              <w:jc w:val="right"/>
              <w:rPr/>
            </w:pPr>
            <w:r>
              <w:rPr>
                <w:color w:val="000000"/>
              </w:rPr>
              <w:t>                     </w:t>
            </w:r>
            <w:r>
              <w:rPr>
                <w:rFonts w:ascii="Arial" w:hAnsi="Arial"/>
                <w:color w:val="000000"/>
                <w:sz w:val="20"/>
              </w:rPr>
              <w:t>466,500</w:t>
            </w:r>
            <w:r>
              <w:rPr>
                <w:rFonts w:ascii="Times New Roman" w:hAnsi="Times New Roman"/>
                <w:color w:val="000000"/>
                <w:sz w:val="20"/>
              </w:rPr>
              <w:t xml:space="preserve">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2146" w:type="dxa"/>
            <w:tcBorders/>
            <w:tcMar>
              <w:top w:w="0" w:type="dxa"/>
              <w:left w:w="0" w:type="dxa"/>
              <w:bottom w:w="0" w:type="dxa"/>
              <w:right w:w="0" w:type="dxa"/>
            </w:tcMar>
            <w:vAlign w:val="center"/>
          </w:tcPr>
          <w:p>
            <w:pPr>
              <w:pStyle w:val="TableContents"/>
              <w:bidi w:val="0"/>
              <w:spacing w:before="0" w:after="283"/>
              <w:jc w:val="right"/>
              <w:rPr>
                <w:color w:val="000000"/>
              </w:rPr>
            </w:pPr>
            <w:r>
              <w:rPr>
                <w:color w:val="000000"/>
              </w:rPr>
              <w:t>                   </w:t>
            </w:r>
            <w:r>
              <w:rPr>
                <w:rFonts w:ascii="Arial" w:hAnsi="Arial"/>
                <w:color w:val="000000"/>
                <w:sz w:val="20"/>
              </w:rPr>
              <w:t>(879,034)</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sans-serif">
    <w:altName w:val="Arial"/>
    <w:charset w:val="01"/>
    <w:family w:val="auto"/>
    <w:pitch w:val="default"/>
  </w:font>
  <w:font w:name="Times New Roman">
    <w:charset w:val="01"/>
    <w:family w:val="auto"/>
    <w:pitch w:val="default"/>
  </w:font>
  <w:font w:name="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2">
    <w:name w:val="Heading 2"/>
    <w:basedOn w:val="Heading"/>
    <w:next w:val="TextBody"/>
    <w:qFormat/>
    <w:pPr>
      <w:numPr>
        <w:ilvl w:val="0"/>
        <w:numId w:val="0"/>
      </w:numPr>
      <w:spacing w:before="200" w:after="120"/>
      <w:outlineLvl w:val="1"/>
    </w:pPr>
    <w:rPr>
      <w:rFonts w:ascii="Liberation Serif" w:hAnsi="Liberation Serif" w:eastAsia="Tahoma" w:cs="Noto Sans Devanagari"/>
      <w:b/>
      <w:bCs/>
      <w:sz w:val="36"/>
      <w:szCs w:val="36"/>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3184</Words>
  <Characters>18757</Characters>
  <CharactersWithSpaces>22298</CharactersWithSpaces>
  <Paragraphs>400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